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Topic 5: the Corporations Power (s 51(xx)) – S-LAW308_...</w:t></w:r><w:br/><w:hyperlink r:id="rId7" w:history="1"><w:r><w:rPr><w:color w:val="2980b9"/><w:u w:val="single"/></w:rPr><w:t xml:space="preserve">https://interact2.csu.edu.au/webapps/blackboard/content/listContent.jsp?course_id=_69065_1&content_id=_5968796_1&mode=reset</w:t></w:r></w:hyperlink></w:p><w:p><w:pPr><w:pStyle w:val="Heading1"/></w:pPr><w:bookmarkStart w:id="2" w:name="_Toc2"/><w:r><w:t>Article summary:</w:t></w:r><w:bookmarkEnd w:id="2"/></w:p><w:p><w:pPr><w:jc w:val="both"/></w:pPr><w:r><w:rPr/><w:t xml:space="preserve">1. The scope of the corporations power (s 51(xx)) has been broadened over time to include all activities that a corporation engages in and anything done to a corporation by another person.</w:t></w:r></w:p><w:p><w:pPr><w:jc w:val="both"/></w:pPr><w:r><w:rPr/><w:t xml:space="preserve">2. In the Concrete Pipes Case, the High Court found that the corporations power allowed the Commonwealth to pass legislation prohibiting restrictive trade practice agreements entered into by corporations, even if they were trading intrastate.</w:t></w:r></w:p><w:p><w:pPr><w:jc w:val="both"/></w:pPr><w:r><w:rPr/><w:t xml:space="preserve">3. In the Work Choices Case, the High Court upheld the validity of the Work Choices Act, which relied on the corporations power to regulate industrial relations between corporations and their employees.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detailed overview of the scope of the corporations power in Australia, as well as several key cases that have shaped its interpretation over time. However, there are some potential biases and limitations in the article that should be considered.</w:t></w:r></w:p><w:p><w:pPr><w:jc w:val="both"/></w:pPr><w:r><w:rPr/><w:t xml:space="preserve"></w:t></w:r></w:p><w:p><w:pPr><w:jc w:val="both"/></w:pPr><w:r><w:rPr/><w:t xml:space="preserve">Firstly, the article presents a broad view of the corporations power, stating that all activities engaged in by a corporation and anything done to a corporation falls within the ambit of s 51(xx). While this may be true based on the cases mentioned, it is important to note that there are differing interpretations of the scope of the corporations power. Some judges have taken a narrower view, suggesting that it only applies to activities directly related to trade and commerce. This perspective is not explored in depth in the article.</w:t></w:r></w:p><w:p><w:pPr><w:jc w:val="both"/></w:pPr><w:r><w:rPr/><w:t xml:space="preserve"></w:t></w:r></w:p><w:p><w:pPr><w:jc w:val="both"/></w:pPr><w:r><w:rPr/><w:t xml:space="preserve">Additionally, the article focuses primarily on cases where the courts have upheld the validity of legislation enacted under s 51(xx). It does not provide a balanced analysis by discussing any cases where legislation has been struck down or challenged on constitutional grounds. This omission limits the reader's understanding of potential limitations or controversies surrounding the corporations power.</w:t></w:r></w:p><w:p><w:pPr><w:jc w:val="both"/></w:pPr><w:r><w:rPr/><w:t xml:space="preserve"></w:t></w:r></w:p><w:p><w:pPr><w:jc w:val="both"/></w:pPr><w:r><w:rPr/><w:t xml:space="preserve">Furthermore, while the article briefly mentions some arguments made by plaintiffs challenging the constitutionality of certain legislation, it does not provide a thorough exploration or analysis of these arguments. This lack of depth prevents readers from fully understanding both sides of the debate and evaluating their merits.</w:t></w:r></w:p><w:p><w:pPr><w:jc w:val="both"/></w:pPr><w:r><w:rPr/><w:t xml:space="preserve"></w:t></w:r></w:p><w:p><w:pPr><w:jc w:val="both"/></w:pPr><w:r><w:rPr/><w:t xml:space="preserve">The article also lacks specific evidence or examples to support its claims about how the corporations power has been broadened over time. It would benefit from including specific quotes or references from court decisions to back up its assertions.</w:t></w:r></w:p><w:p><w:pPr><w:jc w:val="both"/></w:pPr><w:r><w:rPr/><w:t xml:space="preserve"></w:t></w:r></w:p><w:p><w:pPr><w:jc w:val="both"/></w:pPr><w:r><w:rPr/><w:t xml:space="preserve">In terms of promotional content or partiality, there is no obvious bias towards any particular viewpoint or agenda in this article. However, it is worth noting that it primarily presents information from a legal perspective and may not fully consider broader social or economic implications of decisions made under s 51(xx).</w:t></w:r></w:p><w:p><w:pPr><w:jc w:val="both"/></w:pPr><w:r><w:rPr/><w:t xml:space="preserve"></w:t></w:r></w:p><w:p><w:pPr><w:jc w:val="both"/></w:pPr><w:r><w:rPr/><w:t xml:space="preserve">Overall, while this article provides a useful overview of key cases related to the corporations power in Australia, it has some limitations in terms of bias, one-sided reporting, unsupported claims, missing evidence, and unexplored counterarguments. Readers should seek additional sources and perspectives to gain a more comprehensive understanding of the topic.</w:t></w:r></w:p><w:p><w:pPr><w:pStyle w:val="Heading1"/></w:pPr><w:bookmarkStart w:id="5" w:name="_Toc5"/><w:r><w:t>Topics for further research:</w:t></w:r><w:bookmarkEnd w:id="5"/></w:p><w:p><w:pPr><w:spacing w:after="0"/><w:numPr><w:ilvl w:val="0"/><w:numId w:val="2"/></w:numPr></w:pPr><w:r><w:rPr/><w:t xml:space="preserve">Narrow interpretation of corporations power in Australia
</w:t></w:r></w:p><w:p><w:pPr><w:spacing w:after="0"/><w:numPr><w:ilvl w:val="0"/><w:numId w:val="2"/></w:numPr></w:pPr><w:r><w:rPr/><w:t xml:space="preserve">Cases where legislation has been struck down under s 51(xx)
</w:t></w:r></w:p><w:p><w:pPr><w:spacing w:after="0"/><w:numPr><w:ilvl w:val="0"/><w:numId w:val="2"/></w:numPr></w:pPr><w:r><w:rPr/><w:t xml:space="preserve">Arguments against the constitutionality of corporations power
</w:t></w:r></w:p><w:p><w:pPr><w:spacing w:after="0"/><w:numPr><w:ilvl w:val="0"/><w:numId w:val="2"/></w:numPr></w:pPr><w:r><w:rPr/><w:t xml:space="preserve">Critiques of the broadening of corporations power in Australia
</w:t></w:r></w:p><w:p><w:pPr><w:spacing w:after="0"/><w:numPr><w:ilvl w:val="0"/><w:numId w:val="2"/></w:numPr></w:pPr><w:r><w:rPr/><w:t xml:space="preserve">Social and economic implications of corporations power decisions
</w:t></w:r></w:p><w:p><w:pPr><w:numPr><w:ilvl w:val="0"/><w:numId w:val="2"/></w:numPr></w:pPr><w:r><w:rPr/><w:t xml:space="preserve">Alternative perspectives on the scope of corporations power in Australia</w:t></w:r></w:p><w:p><w:pPr><w:pStyle w:val="Heading1"/></w:pPr><w:bookmarkStart w:id="6" w:name="_Toc6"/><w:r><w:t>Report location:</w:t></w:r><w:bookmarkEnd w:id="6"/></w:p><w:p><w:hyperlink r:id="rId8" w:history="1"><w:r><w:rPr><w:color w:val="2980b9"/><w:u w:val="single"/></w:rPr><w:t xml:space="preserve">https://www.fullpicture.app/item/a9342c90af5ecbc569d5f2eb85b7af8b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A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2.csu.edu.au/webapps/blackboard/content/listContent.jsp?course_id=_69065_1&amp;content_id=_5968796_1&amp;mode=reset" TargetMode="External"/><Relationship Id="rId8" Type="http://schemas.openxmlformats.org/officeDocument/2006/relationships/hyperlink" Target="https://www.fullpicture.app/item/a9342c90af5ecbc569d5f2eb85b7a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2023-12-26T02:12:53+01:00</dcterms:created>
  <dcterms:modified xsi:type="dcterms:W3CDTF">2023-12-26T02:12:53+01:00</dcterms:modified>
</cp:coreProperties>
</file>

<file path=docProps/custom.xml><?xml version="1.0" encoding="utf-8"?>
<Properties xmlns="http://schemas.openxmlformats.org/officeDocument/2006/custom-properties" xmlns:vt="http://schemas.openxmlformats.org/officeDocument/2006/docPropsVTypes"/>
</file>