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基于MFCA与LCA整合框架的企业环境成本研究 - 中国知网</w:t></w:r><w:br/><w:hyperlink r:id="rId7" w:history="1"><w:r><w:rPr><w:color w:val="2980b9"/><w:u w:val="single"/></w:rPr><w:t xml:space="preserve">https://kns.cnki.net/kcms2/article/abstract?v=3uoqIhG8C475KOm_zrgu4lQARvep2SAke-wuWrktdE-tSIT2YIbQ2OuF7trUyAhQJLwyZ7yroB0pcO7L70xIfnsCV_DHEalo&uniplatform=NZKPT</w:t></w:r></w:hyperlink></w:p><w:p><w:pPr><w:pStyle w:val="Heading1"/></w:pPr><w:bookmarkStart w:id="2" w:name="_Toc2"/><w:r><w:t>Article summary:</w:t></w:r><w:bookmarkEnd w:id="2"/></w:p><w:p><w:pPr><w:jc w:val="both"/></w:pPr><w:r><w:rPr/><w:t xml:space="preserve">1. This article discusses the importance of environmental cost accounting for enterprises in order to control pollution from the source.</w:t></w:r></w:p><w:p><w:pPr><w:jc w:val="both"/></w:pPr><w:r><w:rPr/><w:t xml:space="preserve">2. It proposes an integrated framework using MFCA and LCA methods to provide reference for enterprises to calculate environmental costs.</w:t></w:r></w:p><w:p><w:pPr><w:jc w:val="both"/></w:pPr><w:r><w:rPr/><w:t xml:space="preserve">3. The article examines resource input, product and non-product output, and other factors in order to construct an integrated framework based on MFCA and LCA.</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draws on relevant research from both domestic and foreign scholars in the field of environmental costs. The author provides a comprehensive overview of the research and application status of environmental cost and MFCA and LCA methods at home and abroad, as well as a detailed analysis of the feasibility of integrating the two methods to calculate environmental costs. Furthermore, the author presents an applicable environmental cost accounting method based on MFCA and LCA methods, which is supported by evidence from previous studies.</w:t></w:r></w:p><w:p><w:pPr><w:jc w:val="both"/></w:pPr><w:r><w:rPr/><w:t xml:space="preserve">However, there are some potential biases that should be noted. For example, while the article does discuss potential risks associated with environmental cost accounting, it does not present both sides equally or explore counterarguments that may challenge its conclusions. Additionally, there is a lack of detail regarding how exactly this integrated framework would be implemented in practice or what specific measures could be taken by enterprises to reduce their environmental costs. Finally, there is no mention of any promotional content or partiality in the article; however, it should be noted that this could potentially be present but not explicitly stated.</w:t></w:r></w:p><w:p><w:pPr><w:pStyle w:val="Heading1"/></w:pPr><w:bookmarkStart w:id="5" w:name="_Toc5"/><w:r><w:t>Topics for further research:</w:t></w:r><w:bookmarkEnd w:id="5"/></w:p><w:p><w:pPr><w:spacing w:after="0"/><w:numPr><w:ilvl w:val="0"/><w:numId w:val="2"/></w:numPr></w:pPr><w:r><w:rPr/><w:t xml:space="preserve">Environmental cost accounting implementation</w:t></w:r></w:p><w:p><w:pPr><w:spacing w:after="0"/><w:numPr><w:ilvl w:val="0"/><w:numId w:val="2"/></w:numPr></w:pPr><w:r><w:rPr/><w:t xml:space="preserve">Environmental cost reduction strategies</w:t></w:r></w:p><w:p><w:pPr><w:spacing w:after="0"/><w:numPr><w:ilvl w:val="0"/><w:numId w:val="2"/></w:numPr></w:pPr><w:r><w:rPr/><w:t xml:space="preserve">Environmental cost accounting risks</w:t></w:r></w:p><w:p><w:pPr><w:spacing w:after="0"/><w:numPr><w:ilvl w:val="0"/><w:numId w:val="2"/></w:numPr></w:pPr><w:r><w:rPr/><w:t xml:space="preserve">Environmental cost accounting benefits</w:t></w:r></w:p><w:p><w:pPr><w:spacing w:after="0"/><w:numPr><w:ilvl w:val="0"/><w:numId w:val="2"/></w:numPr></w:pPr><w:r><w:rPr/><w:t xml:space="preserve">MFCA and LCA integration</w:t></w:r></w:p><w:p><w:pPr><w:numPr><w:ilvl w:val="0"/><w:numId w:val="2"/></w:numPr></w:pPr><w:r><w:rPr/><w:t xml:space="preserve">Environmental cost accounting regulations</w:t></w:r></w:p><w:p><w:pPr><w:pStyle w:val="Heading1"/></w:pPr><w:bookmarkStart w:id="6" w:name="_Toc6"/><w:r><w:t>Report location:</w:t></w:r><w:bookmarkEnd w:id="6"/></w:p><w:p><w:hyperlink r:id="rId8" w:history="1"><w:r><w:rPr><w:color w:val="2980b9"/><w:u w:val="single"/></w:rPr><w:t xml:space="preserve">https://www.fullpicture.app/item/a9b483def16b658aca7172e89300bd91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8441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e-wuWrktdE-tSIT2YIbQ2OuF7trUyAhQJLwyZ7yroB0pcO7L70xIfnsCV_DHEalo&amp;uniplatform=NZKPT" TargetMode="External"/><Relationship Id="rId8" Type="http://schemas.openxmlformats.org/officeDocument/2006/relationships/hyperlink" Target="https://www.fullpicture.app/item/a9b483def16b658aca7172e89300bd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2023-02-26T21:36:09+01:00</dcterms:created>
  <dcterms:modified xsi:type="dcterms:W3CDTF">2023-02-26T21:36:09+01:00</dcterms:modified>
</cp:coreProperties>
</file>

<file path=docProps/custom.xml><?xml version="1.0" encoding="utf-8"?>
<Properties xmlns="http://schemas.openxmlformats.org/officeDocument/2006/custom-properties" xmlns:vt="http://schemas.openxmlformats.org/officeDocument/2006/docPropsVTypes"/>
</file>