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IFNAR1 and IFNAR2 play distinct roles in initiating type I interferon–induced JAK-STAT signaling and activating STATs | Science Signaling</w:t></w:r><w:br/><w:hyperlink r:id="rId7" w:history="1"><w:r><w:rPr><w:color w:val="2980b9"/><w:u w:val="single"/></w:rPr><w:t xml:space="preserve">https://www.science.org/doi/10.1126/scisignal.abe4627?url_ver=Z39.88-2003&rfr_id=ori%3Arid%3Acrossref.org&rfr_dat=cr_pub++0pubmed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IFNAR1 and IFNAR2 are receptor subunits that play distinct roles in initiating type I interferon-induced JAK-STAT signaling.</w:t></w:r></w:p><w:p><w:pPr><w:jc w:val="both"/></w:pPr><w:r><w:rPr/><w:t xml:space="preserve">2. TYK2, associated with IFNAR1, is responsible for initiating STAT signaling downstream of IFNAR.</w:t></w:r></w:p><w:p><w:pPr><w:jc w:val="both"/></w:pPr><w:r><w:rPr/><w:t xml:space="preserve">3. IFNAR2 serves as the platform for STAT activation and tyrosine phosphorylation on IFNAR2-ICD drives the dissociation of phosphorylated STATs, maintaining high signaling flux.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对于上述文章的详细批判性分析，以下是一些观点和问题：</w:t></w:r></w:p><w:p><w:pPr><w:jc w:val="both"/></w:pPr><w:r><w:rPr/><w:t xml:space="preserve"></w:t></w:r></w:p><w:p><w:pPr><w:jc w:val="both"/></w:pPr><w:r><w:rPr/><w:t xml:space="preserve">1. 潜在偏见及其来源：文章没有明确提到作者的潜在偏见或利益冲突。这可能导致读者对作者的立场和动机产生怀疑，并影响对文章内容的解读。</w:t></w:r></w:p><w:p><w:pPr><w:jc w:val="both"/></w:pPr><w:r><w:rPr/><w:t xml:space="preserve"></w:t></w:r></w:p><w:p><w:pPr><w:jc w:val="both"/></w:pPr><w:r><w:rPr/><w:t xml:space="preserve">2. 片面报道：文章主要关注了IFNAR1和IFNAR2在启动类型I干扰素诱导的JAK-STAT信号传导中的不同作用。然而，它是否全面考虑了其他可能影响该信号通路的因素，如其他受体、调节蛋白等，尚不清楚。</w:t></w:r></w:p><w:p><w:pPr><w:jc w:val="both"/></w:pPr><w:r><w:rPr/><w:t xml:space="preserve"></w:t></w:r></w:p><w:p><w:pPr><w:jc w:val="both"/></w:pPr><w:r><w:rPr/><w:t xml:space="preserve">3. 无根据的主张：文章声称IFNAR1与TYK2结合是启动STAT信号传导所必需的，但未提供足够的证据来支持这一主张。缺乏实验证据可能使得这个结论显得过于武断。</w:t></w:r></w:p><w:p><w:pPr><w:jc w:val="both"/></w:pPr><w:r><w:rPr/><w:t xml:space="preserve"></w:t></w:r></w:p><w:p><w:pPr><w:jc w:val="both"/></w:pPr><w:r><w:rPr/><w:t xml:space="preserve">4. 缺失的考虑点：文章没有讨论IFNAR1和IFNAR2之间相互作用以及它们与其他相关蛋白质之间复杂网络的影响。这种简化可能会忽略其他重要因素对信号传导的调控作用。</w:t></w:r></w:p><w:p><w:pPr><w:jc w:val="both"/></w:pPr><w:r><w:rPr/><w:t xml:space="preserve"></w:t></w:r></w:p><w:p><w:pPr><w:jc w:val="both"/></w:pPr><w:r><w:rPr/><w:t xml:space="preserve">5. 所提出主张的缺失证据：尽管文章声称IFNAR2的酪氨酸磷酸化促进了信号传导，但并没有提供实验证据来支持这一观点。缺乏直接证据可能使得这个主张缺乏说服力。</w:t></w:r></w:p><w:p><w:pPr><w:jc w:val="both"/></w:pPr><w:r><w:rPr/><w:t xml:space="preserve"></w:t></w:r></w:p><w:p><w:pPr><w:jc w:val="both"/></w:pPr><w:r><w:rPr/><w:t xml:space="preserve">6. 未探索的反驳：文章没有探讨其他可能解释结果的假设或观点。这种单一视角可能导致对问题的理解不完整，并忽略了其他潜在解释。</w:t></w:r></w:p><w:p><w:pPr><w:jc w:val="both"/></w:pPr><w:r><w:rPr/><w:t xml:space="preserve"></w:t></w:r></w:p><w:p><w:pPr><w:jc w:val="both"/></w:pPr><w:r><w:rPr/><w:t xml:space="preserve">7. 宣传内容：文章是否存在宣传内容或倾向性语言，以及是否有利于某种特定观点或产品，需要进一步审查。如果存在宣传内容，读者应该对作者的动机和意图保持警惕。</w:t></w:r></w:p><w:p><w:pPr><w:jc w:val="both"/></w:pPr><w:r><w:rPr/><w:t xml:space="preserve"></w:t></w:r></w:p><w:p><w:pPr><w:jc w:val="both"/></w:pPr><w:r><w:rPr/><w:t xml:space="preserve">8. 偏袒：文章是否平等地呈现了双方的证据和观点，或者是否偏袒某一方面？如果存在偏袒，读者应该对作者的立场和动机产生怀疑，并寻找更全面、客观的信息来源。</w:t></w:r></w:p><w:p><w:pPr><w:jc w:val="both"/></w:pPr><w:r><w:rPr/><w:t xml:space="preserve"></w:t></w:r></w:p><w:p><w:pPr><w:jc w:val="both"/></w:pPr><w:r><w:rPr/><w:t xml:space="preserve">9. 是否注意到可能的风险：文章是否提到了与研究结果相关的潜在风险或限制？如果没有提及，读者应该对结果的可靠性和适用性产生怀疑，并寻找更全面、客观的信息来源。</w:t></w:r></w:p><w:p><w:pPr><w:jc w:val="both"/></w:pPr><w:r><w:rPr/><w:t xml:space="preserve"></w:t></w:r></w:p><w:p><w:pPr><w:jc w:val="both"/></w:pPr><w:r><w:rPr/><w:t xml:space="preserve">总体而言，对于上述文章进行批判性分析时，需要对作者的立场和动机保持怀疑，并寻找更全面、客观的信息来源来验证和补充文章中提出的观点和结论。此外，还应注意是否存在偏见、片面报道、无根据的主张、缺失的考虑点、所提出主张的缺失证据、未探索的反驳、宣传内容，偏袒以及是否注意到可能的风险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作者潜在偏见及利益冲突
</w:t></w:r></w:p><w:p><w:pPr><w:spacing w:after="0"/><w:numPr><w:ilvl w:val="0"/><w:numId w:val="2"/></w:numPr></w:pPr><w:r><w:rPr/><w:t xml:space="preserve">其他可能影响信号通路的因素
</w:t></w:r></w:p><w:p><w:pPr><w:spacing w:after="0"/><w:numPr><w:ilvl w:val="0"/><w:numId w:val="2"/></w:numPr></w:pPr><w:r><w:rPr/><w:t xml:space="preserve">IFNAR1与TYK2结合是否是启动STAT信号传导所必需的
</w:t></w:r></w:p><w:p><w:pPr><w:spacing w:after="0"/><w:numPr><w:ilvl w:val="0"/><w:numId w:val="2"/></w:numPr></w:pPr><w:r><w:rPr/><w:t xml:space="preserve">IFNAR1和IFNAR2之间相互作用及其与其他相关蛋白质的影响
</w:t></w:r></w:p><w:p><w:pPr><w:spacing w:after="0"/><w:numPr><w:ilvl w:val="0"/><w:numId w:val="2"/></w:numPr></w:pPr><w:r><w:rPr/><w:t xml:space="preserve">IFNAR2的酪氨酸磷酸化促进信号传导的实验证据
</w:t></w:r></w:p><w:p><w:pPr><w:spacing w:after="0"/><w:numPr><w:ilvl w:val="0"/><w:numId w:val="2"/></w:numPr></w:pPr><w:r><w:rPr/><w:t xml:space="preserve">其他可能解释结果的假设或观点
</w:t></w:r></w:p><w:p><w:pPr><w:spacing w:after="0"/><w:numPr><w:ilvl w:val="0"/><w:numId w:val="2"/></w:numPr></w:pPr><w:r><w:rPr/><w:t xml:space="preserve">是否存在宣传内容或倾向性语言
</w:t></w:r></w:p><w:p><w:pPr><w:spacing w:after="0"/><w:numPr><w:ilvl w:val="0"/><w:numId w:val="2"/></w:numPr></w:pPr><w:r><w:rPr/><w:t xml:space="preserve">是否平等地呈现了双方的证据和观点
</w:t></w:r></w:p><w:p><w:pPr><w:numPr><w:ilvl w:val="0"/><w:numId w:val="2"/></w:numPr></w:pPr><w:r><w:rPr/><w:t xml:space="preserve">是否提到了与研究结果相关的潜在风险或限制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https://www.fullpicture.app/item/aad4e6d309d2b11bdbdf086036429757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0051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signal.abe4627?url_ver=Z39.88-2003&amp;rfr_id=ori%3Arid%3Acrossref.org&amp;rfr_dat=cr_pub++0pubmed" TargetMode="External"/><Relationship Id="rId8" Type="http://schemas.openxmlformats.org/officeDocument/2006/relationships/hyperlink" Target="https://www.fullpicture.app/item/aad4e6d309d2b11bdbdf0860364297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2023-09-04T12:00:06+02:00</dcterms:created>
  <dcterms:modified xsi:type="dcterms:W3CDTF">2023-09-04T12:00:06+02:00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