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but not obligatory link between microsaccades and neural modulation by covert spatial attention | Nature Communications</w:t>
      </w:r>
      <w:br/>
      <w:hyperlink r:id="rId7" w:history="1">
        <w:r>
          <w:rPr>
            <w:color w:val="2980b9"/>
            <w:u w:val="single"/>
          </w:rPr>
          <w:t xml:space="preserve">https://www.nature.com/articles/s41467-022-31217-3</w:t>
        </w:r>
      </w:hyperlink>
    </w:p>
    <w:p>
      <w:pPr>
        <w:pStyle w:val="Heading1"/>
      </w:pPr>
      <w:bookmarkStart w:id="2" w:name="_Toc2"/>
      <w:r>
        <w:t>Article summary:</w:t>
      </w:r>
      <w:bookmarkEnd w:id="2"/>
    </w:p>
    <w:p>
      <w:pPr>
        <w:jc w:val="both"/>
      </w:pPr>
      <w:r>
        <w:rPr/>
        <w:t xml:space="preserve">1. Covert attention allows us to select and prioritize relevant sensory information that is not currently fixated, and the brain's oculomotor system participates in the allocation of covert spatial attention.</w:t>
      </w:r>
    </w:p>
    <w:p>
      <w:pPr>
        <w:jc w:val="both"/>
      </w:pPr>
      <w:r>
        <w:rPr/>
        <w:t xml:space="preserve">2. Microsaccades, which are directional biasing of fixational eye movements, are consistently linked with covert spatial attention, and enhanced neural processing by covert spatial attention occurs only in the presence of microsaccades toward the attended location.</w:t>
      </w:r>
    </w:p>
    <w:p>
      <w:pPr>
        <w:jc w:val="both"/>
      </w:pPr>
      <w:r>
        <w:rPr/>
        <w:t xml:space="preserve">3. The study investigated spatial modulation of 8-12 Hz alpha activity, a canonical neural signature of spatial attention in human EEG and MEG measurements that has been linked to the oculomotor system, and found a functional but not obligatory link between microsaccades and neural modulation by covert spatial attention in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该文章主要探讨了微小眼动与隐蔽空间注意之间的关系，并提出了人类中8-12Hz alpha活动的空间调制是隐蔽空间注意的神经标志。然而，该文章存在一些潜在偏见和不足之处。</w:t>
      </w:r>
    </w:p>
    <w:p>
      <w:pPr>
        <w:jc w:val="both"/>
      </w:pPr>
      <w:r>
        <w:rPr/>
        <w:t xml:space="preserve"/>
      </w:r>
    </w:p>
    <w:p>
      <w:pPr>
        <w:jc w:val="both"/>
      </w:pPr>
      <w:r>
        <w:rPr/>
        <w:t xml:space="preserve">首先，该文章忽略了微小眼动可能是注意分配的结果，而不是其原因。这意味着微小眼动可能只是与隐蔽空间注意相关的副作用，而不是必需品。此外，该文章没有考虑到其他因素可能会影响微小眼动和神经调制之间的关系。</w:t>
      </w:r>
    </w:p>
    <w:p>
      <w:pPr>
        <w:jc w:val="both"/>
      </w:pPr>
      <w:r>
        <w:rPr/>
        <w:t xml:space="preserve"/>
      </w:r>
    </w:p>
    <w:p>
      <w:pPr>
        <w:jc w:val="both"/>
      </w:pPr>
      <w:r>
        <w:rPr/>
        <w:t xml:space="preserve">其次，该文章没有提供充分证据来支持其主张。虽然前人研究表明，在非人灵长类动物中，微小眼动和神经调制之间存在必然联系，但这并不能直接推广到人类身上。因此，需要更多的实验证据来证明这种联系是否普遍存在于人类中。</w:t>
      </w:r>
    </w:p>
    <w:p>
      <w:pPr>
        <w:jc w:val="both"/>
      </w:pPr>
      <w:r>
        <w:rPr/>
        <w:t xml:space="preserve"/>
      </w:r>
    </w:p>
    <w:p>
      <w:pPr>
        <w:jc w:val="both"/>
      </w:pPr>
      <w:r>
        <w:rPr/>
        <w:t xml:space="preserve">此外，该文章未探索反驳观点或其他解释可能性。例如，有些研究表明，在某些情况下，微小眼动可能会干扰视觉加工和认知任务执行，并且与神经调制无关。因此，在解释微小眼动和神经调制之间的关系时，需要考虑到这些因素。</w:t>
      </w:r>
    </w:p>
    <w:p>
      <w:pPr>
        <w:jc w:val="both"/>
      </w:pPr>
      <w:r>
        <w:rPr/>
        <w:t xml:space="preserve"/>
      </w:r>
    </w:p>
    <w:p>
      <w:pPr>
        <w:jc w:val="both"/>
      </w:pPr>
      <w:r>
        <w:rPr/>
        <w:t xml:space="preserve">最后，该文章可能存在宣传内容和偏袒的问题。例如，该文章没有平等地呈现双方的证据和观点，并且可能过于强调微小眼动与神经调制之间的联系。此外，该文章未注意到可能的风险或潜在影响，例如，在某些情况下，微小眼动可能会干扰认知任务执行并导致错误结果。</w:t>
      </w:r>
    </w:p>
    <w:p>
      <w:pPr>
        <w:jc w:val="both"/>
      </w:pPr>
      <w:r>
        <w:rPr/>
        <w:t xml:space="preserve"/>
      </w:r>
    </w:p>
    <w:p>
      <w:pPr>
        <w:jc w:val="both"/>
      </w:pPr>
      <w:r>
        <w:rPr/>
        <w:t xml:space="preserve">综上所述，尽管该文章提供了一些有趣的发现和观点，但其存在一些潜在偏见和不足之处。因此，在评估其结论时需要谨慎，并需要更多实验证据来支持其主张。</w:t>
      </w:r>
    </w:p>
    <w:p>
      <w:pPr>
        <w:pStyle w:val="Heading1"/>
      </w:pPr>
      <w:bookmarkStart w:id="5" w:name="_Toc5"/>
      <w:r>
        <w:t>Topics for further research:</w:t>
      </w:r>
      <w:bookmarkEnd w:id="5"/>
    </w:p>
    <w:p>
      <w:pPr>
        <w:spacing w:after="0"/>
        <w:numPr>
          <w:ilvl w:val="0"/>
          <w:numId w:val="2"/>
        </w:numPr>
      </w:pPr>
      <w:r>
        <w:rPr/>
        <w:t xml:space="preserve">Possible causes of microsaccades
</w:t>
      </w:r>
    </w:p>
    <w:p>
      <w:pPr>
        <w:spacing w:after="0"/>
        <w:numPr>
          <w:ilvl w:val="0"/>
          <w:numId w:val="2"/>
        </w:numPr>
      </w:pPr>
      <w:r>
        <w:rPr/>
        <w:t xml:space="preserve">Limitations of evidence supporting the claim
</w:t>
      </w:r>
    </w:p>
    <w:p>
      <w:pPr>
        <w:spacing w:after="0"/>
        <w:numPr>
          <w:ilvl w:val="0"/>
          <w:numId w:val="2"/>
        </w:numPr>
      </w:pPr>
      <w:r>
        <w:rPr/>
        <w:t xml:space="preserve">Alternative explanations for the relationship between microsaccades and neural modulation
</w:t>
      </w:r>
    </w:p>
    <w:p>
      <w:pPr>
        <w:spacing w:after="0"/>
        <w:numPr>
          <w:ilvl w:val="0"/>
          <w:numId w:val="2"/>
        </w:numPr>
      </w:pPr>
      <w:r>
        <w:rPr/>
        <w:t xml:space="preserve">Potential biases and favoritism in the article
</w:t>
      </w:r>
    </w:p>
    <w:p>
      <w:pPr>
        <w:spacing w:after="0"/>
        <w:numPr>
          <w:ilvl w:val="0"/>
          <w:numId w:val="2"/>
        </w:numPr>
      </w:pPr>
      <w:r>
        <w:rPr/>
        <w:t xml:space="preserve">Risks and potential impacts of microsaccades on cognitive tasks
</w:t>
      </w:r>
    </w:p>
    <w:p>
      <w:pPr>
        <w:numPr>
          <w:ilvl w:val="0"/>
          <w:numId w:val="2"/>
        </w:numPr>
      </w:pPr>
      <w:r>
        <w:rPr/>
        <w:t xml:space="preserve">Need for further empirical evidence to support the claims</w:t>
      </w:r>
    </w:p>
    <w:p>
      <w:pPr>
        <w:pStyle w:val="Heading1"/>
      </w:pPr>
      <w:bookmarkStart w:id="6" w:name="_Toc6"/>
      <w:r>
        <w:t>Report location:</w:t>
      </w:r>
      <w:bookmarkEnd w:id="6"/>
    </w:p>
    <w:p>
      <w:hyperlink r:id="rId8" w:history="1">
        <w:r>
          <w:rPr>
            <w:color w:val="2980b9"/>
            <w:u w:val="single"/>
          </w:rPr>
          <w:t xml:space="preserve">https://www.fullpicture.app/item/ab50df320ef9c0e7aecb2c3c168b09ab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F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217-3" TargetMode="External"/><Relationship Id="rId8" Type="http://schemas.openxmlformats.org/officeDocument/2006/relationships/hyperlink" Target="https://www.fullpicture.app/item/ab50df320ef9c0e7aecb2c3c168b09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2024-01-12T02:34:35+01:00</dcterms:created>
  <dcterms:modified xsi:type="dcterms:W3CDTF">2024-01-12T02:34:35+01:00</dcterms:modified>
</cp:coreProperties>
</file>

<file path=docProps/custom.xml><?xml version="1.0" encoding="utf-8"?>
<Properties xmlns="http://schemas.openxmlformats.org/officeDocument/2006/custom-properties" xmlns:vt="http://schemas.openxmlformats.org/officeDocument/2006/docPropsVTypes"/>
</file>