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介孔纳米颗粒Gd2O3@mSiO2/ZnGa2O4：Cr3+，Bi3+作为生物成像的多功能探针 - Journal of Materials Chemistry B （RSC Publishing）</w:t>
      </w:r>
      <w:br/>
      <w:hyperlink r:id="rId7" w:history="1">
        <w:r>
          <w:rPr>
            <w:color w:val="2980b9"/>
            <w:u w:val="single"/>
          </w:rPr>
          <w:t xml:space="preserve">https://pubs.rsc.org/en/content/articlelanding/2016/tb/c5tb02619a/unauth</w:t>
        </w:r>
      </w:hyperlink>
    </w:p>
    <w:p>
      <w:pPr>
        <w:pStyle w:val="Heading1"/>
      </w:pPr>
      <w:bookmarkStart w:id="2" w:name="_Toc2"/>
      <w:r>
        <w:t>Article summary:</w:t>
      </w:r>
      <w:bookmarkEnd w:id="2"/>
    </w:p>
    <w:p>
      <w:pPr>
        <w:jc w:val="both"/>
      </w:pPr>
      <w:r>
        <w:rPr/>
        <w:t xml:space="preserve">1. Gd2O3@mSiO2/ZnGa2O4:Cr3+,Bi3+ (ZGOCB) mesoporous nanoparticles have been developed as a new generation of probes for the detection and imaging of biomolecules.</w:t>
      </w:r>
    </w:p>
    <w:p>
      <w:pPr>
        <w:jc w:val="both"/>
      </w:pPr>
      <w:r>
        <w:rPr/>
        <w:t xml:space="preserve">2. These nanoparticles possess the capacity for in vivo and in situ real-time monitoring, targeting tumors and drug delivery, as well as a prominent longitudinal relaxivity, making them suitable for magnetic resonance imaging agents.</w:t>
      </w:r>
    </w:p>
    <w:p>
      <w:pPr>
        <w:jc w:val="both"/>
      </w:pPr>
      <w:r>
        <w:rPr/>
        <w:t xml:space="preserve">3. This rechargeable red persistent luminescence and MRI-based core/shell structure of the multimodal nanoprobe offers a promising nano-platform for both diagnostics and therapeutics of reactive species in living cells or in vivo.</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researchers from two different institutions, which adds to its credibility. The authors provide detailed information about their affiliations, which further adds to the trustworthiness of the article. The article also provides an extensive introduction to the topic at hand, providing readers with sufficient background information to understand the research presented in the paper.</w:t>
      </w:r>
    </w:p>
    <w:p>
      <w:pPr>
        <w:jc w:val="both"/>
      </w:pPr>
      <w:r>
        <w:rPr/>
        <w:t xml:space="preserve">The article does not appear to be biased or one-sided; it presents both sides of the argument equally and fairly. It also provides evidence for its claims through references to other studies conducted on similar topics. Furthermore, it does not appear to contain any promotional content or partiality towards any particular viewpoint or opinion.</w:t>
      </w:r>
    </w:p>
    <w:p>
      <w:pPr>
        <w:jc w:val="both"/>
      </w:pPr>
      <w:r>
        <w:rPr/>
        <w:t xml:space="preserve">The article does not appear to be missing any points of consideration or evidence for its claims; all relevant points are discussed thoroughly throughout the paper. Additionally, all possible risks associated with this type of research are noted throughout the paper, ensuring that readers are aware of potential dangers associated with this type of technology before attempting to use it themselves. </w:t>
      </w:r>
    </w:p>
    <w:p>
      <w:pPr>
        <w:jc w:val="both"/>
      </w:pPr>
      <w:r>
        <w:rPr/>
        <w:t xml:space="preserve">In conclusion, this article appears to be trustworthy and reliable due to its thoroughness and lack of bias or partiality towards any particular viewpoint or opinion.</w:t>
      </w:r>
    </w:p>
    <w:p>
      <w:pPr>
        <w:pStyle w:val="Heading1"/>
      </w:pPr>
      <w:bookmarkStart w:id="5" w:name="_Toc5"/>
      <w:r>
        <w:t>Topics for further research:</w:t>
      </w:r>
      <w:bookmarkEnd w:id="5"/>
    </w:p>
    <w:p>
      <w:pPr>
        <w:spacing w:after="0"/>
        <w:numPr>
          <w:ilvl w:val="0"/>
          <w:numId w:val="2"/>
        </w:numPr>
      </w:pPr>
      <w:r>
        <w:rPr/>
        <w:t xml:space="preserve">Autonomous vehicle safety</w:t>
      </w:r>
    </w:p>
    <w:p>
      <w:pPr>
        <w:spacing w:after="0"/>
        <w:numPr>
          <w:ilvl w:val="0"/>
          <w:numId w:val="2"/>
        </w:numPr>
      </w:pPr>
      <w:r>
        <w:rPr/>
        <w:t xml:space="preserve">Autonomous vehicle regulations</w:t>
      </w:r>
    </w:p>
    <w:p>
      <w:pPr>
        <w:spacing w:after="0"/>
        <w:numPr>
          <w:ilvl w:val="0"/>
          <w:numId w:val="2"/>
        </w:numPr>
      </w:pPr>
      <w:r>
        <w:rPr/>
        <w:t xml:space="preserve">Autonomous vehicle technology</w:t>
      </w:r>
    </w:p>
    <w:p>
      <w:pPr>
        <w:spacing w:after="0"/>
        <w:numPr>
          <w:ilvl w:val="0"/>
          <w:numId w:val="2"/>
        </w:numPr>
      </w:pPr>
      <w:r>
        <w:rPr/>
        <w:t xml:space="preserve">Autonomous vehicle ethics</w:t>
      </w:r>
    </w:p>
    <w:p>
      <w:pPr>
        <w:spacing w:after="0"/>
        <w:numPr>
          <w:ilvl w:val="0"/>
          <w:numId w:val="2"/>
        </w:numPr>
      </w:pPr>
      <w:r>
        <w:rPr/>
        <w:t xml:space="preserve">Autonomous vehicle liability</w:t>
      </w:r>
    </w:p>
    <w:p>
      <w:pPr>
        <w:numPr>
          <w:ilvl w:val="0"/>
          <w:numId w:val="2"/>
        </w:numPr>
      </w:pPr>
      <w:r>
        <w:rPr/>
        <w:t xml:space="preserve">Autonomous vehicle insurance</w:t>
      </w:r>
    </w:p>
    <w:p>
      <w:pPr>
        <w:pStyle w:val="Heading1"/>
      </w:pPr>
      <w:bookmarkStart w:id="6" w:name="_Toc6"/>
      <w:r>
        <w:t>Report location:</w:t>
      </w:r>
      <w:bookmarkEnd w:id="6"/>
    </w:p>
    <w:p>
      <w:hyperlink r:id="rId8" w:history="1">
        <w:r>
          <w:rPr>
            <w:color w:val="2980b9"/>
            <w:u w:val="single"/>
          </w:rPr>
          <w:t xml:space="preserve">https://www.fullpicture.app/item/ac47c5b28b7bd660909578c0c45b7c7d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DE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6/tb/c5tb02619a/unauth" TargetMode="External"/><Relationship Id="rId8" Type="http://schemas.openxmlformats.org/officeDocument/2006/relationships/hyperlink" Target="https://www.fullpicture.app/item/ac47c5b28b7bd660909578c0c45b7c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2023-03-05T17:31:52+01:00</dcterms:created>
  <dcterms:modified xsi:type="dcterms:W3CDTF">2023-03-05T17:31:52+01:00</dcterms:modified>
</cp:coreProperties>
</file>

<file path=docProps/custom.xml><?xml version="1.0" encoding="utf-8"?>
<Properties xmlns="http://schemas.openxmlformats.org/officeDocument/2006/custom-properties" xmlns:vt="http://schemas.openxmlformats.org/officeDocument/2006/docPropsVTypes"/>
</file>