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Free-to-paid conversion at scale</w:t>
      </w:r>
      <w:br/>
      <w:hyperlink r:id="rId7" w:history="1">
        <w:r>
          <w:rPr>
            <w:color w:val="2980b9"/>
            <w:u w:val="single"/>
          </w:rPr>
          <w:t xml:space="preserve">https://kylepoyar.substack.com/p/free-to-paid-conversion-at-scale</w:t>
        </w:r>
      </w:hyperlink>
    </w:p>
    <w:p>
      <w:pPr>
        <w:pStyle w:val="Heading1"/>
      </w:pPr>
      <w:bookmarkStart w:id="2" w:name="_Toc2"/>
      <w:r>
        <w:t>Article summary:</w:t>
      </w:r>
      <w:bookmarkEnd w:id="2"/>
    </w:p>
    <w:p>
      <w:pPr>
        <w:jc w:val="both"/>
      </w:pPr>
      <w:r>
        <w:rPr/>
        <w:t xml:space="preserve">1. A smart trial approach, which combines personalized automation with human sales touch, can drive free-to-paid conversion at scale for PLG companies.</w:t>
      </w:r>
    </w:p>
    <w:p>
      <w:pPr>
        <w:jc w:val="both"/>
      </w:pPr>
      <w:r>
        <w:rPr/>
        <w:t xml:space="preserve">2. Coefficient, a Google Sheets data connector, successfully closed an $18 million Series A and landed key accounts like Spotify and Miro through its personalized and automated smart trial experience.</w:t>
      </w:r>
    </w:p>
    <w:p>
      <w:pPr>
        <w:jc w:val="both"/>
      </w:pPr>
      <w:r>
        <w:rPr/>
        <w:t xml:space="preserve">3. PLG companies need to deliver value before they capture it, and a smart trial approach requires a firm belief in the product's value, a deep understanding of the pain being solved, and patience &amp; data insights to enable users to get to value without needing to talk to a salesperson.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"Free-to-paid conversion at scale" apresenta uma estratégia de conversão de usuários gratuitos em pagantes por meio de um processo automatizado e personalizado. O autor destaca a importância da personalização na experiência do usuário e cita exemplos de empresas que obtiveram sucesso com essa abordagem, como Coefficient.</w:t>
      </w:r>
    </w:p>
    <w:p>
      <w:pPr>
        <w:jc w:val="both"/>
      </w:pPr>
      <w:r>
        <w:rPr/>
        <w:t xml:space="preserve"/>
      </w:r>
    </w:p>
    <w:p>
      <w:pPr>
        <w:jc w:val="both"/>
      </w:pPr>
      <w:r>
        <w:rPr/>
        <w:t xml:space="preserve">Embora o artigo forneça informações úteis sobre a estratégia de conversão, ele pode ser tendencioso em relação ao modelo PLG (Product-Led Growth), que é promovido como a melhor opção para empresas SaaS. O autor não explora outras abordagens, como vendas lideradas por equipes ou modelos híbridos, que podem ser mais adequados para algumas empresas.</w:t>
      </w:r>
    </w:p>
    <w:p>
      <w:pPr>
        <w:jc w:val="both"/>
      </w:pPr>
      <w:r>
        <w:rPr/>
        <w:t xml:space="preserve"/>
      </w:r>
    </w:p>
    <w:p>
      <w:pPr>
        <w:jc w:val="both"/>
      </w:pPr>
      <w:r>
        <w:rPr/>
        <w:t xml:space="preserve">Além disso, o artigo não apresenta evidências suficientes para apoiar as afirmações feitas sobre a eficácia da personalização na conversão de usuários gratuitos em pagantes. Embora seja mencionado que há muitos dados sobre os benefícios da personalização no B2C, não há referências específicas ou estudos citados.</w:t>
      </w:r>
    </w:p>
    <w:p>
      <w:pPr>
        <w:jc w:val="both"/>
      </w:pPr>
      <w:r>
        <w:rPr/>
        <w:t xml:space="preserve"/>
      </w:r>
    </w:p>
    <w:p>
      <w:pPr>
        <w:jc w:val="both"/>
      </w:pPr>
      <w:r>
        <w:rPr/>
        <w:t xml:space="preserve">Outro ponto ausente no artigo é a discussão sobre os possíveis riscos e desvantagens da estratégia de conversão proposta. Por exemplo, pode haver preocupações com privacidade ou segurança dos dados dos usuários se forem coletadas muitas informações pessoais para personalizar a experiência do usuário.</w:t>
      </w:r>
    </w:p>
    <w:p>
      <w:pPr>
        <w:jc w:val="both"/>
      </w:pPr>
      <w:r>
        <w:rPr/>
        <w:t xml:space="preserve"/>
      </w:r>
    </w:p>
    <w:p>
      <w:pPr>
        <w:jc w:val="both"/>
      </w:pPr>
      <w:r>
        <w:rPr/>
        <w:t xml:space="preserve">Em geral, embora o artigo forneça insights interessantes sobre uma estratégia específica de conversão, ele pode ser tendencioso em relação ao modelo PLG e carece de evidências suficientes para apoiar suas afirmações. É importante considerar outras abordagens e possíveis riscos ao implementar essa estratégia.</w:t>
      </w:r>
    </w:p>
    <w:p>
      <w:pPr>
        <w:pStyle w:val="Heading1"/>
      </w:pPr>
      <w:bookmarkStart w:id="5" w:name="_Toc5"/>
      <w:r>
        <w:t>Topics for further research:</w:t>
      </w:r>
      <w:bookmarkEnd w:id="5"/>
    </w:p>
    <w:p>
      <w:pPr>
        <w:spacing w:after="0"/>
        <w:numPr>
          <w:ilvl w:val="0"/>
          <w:numId w:val="2"/>
        </w:numPr>
      </w:pPr>
      <w:r>
        <w:rPr/>
        <w:t xml:space="preserve">Como outras abordagens de vendas lideradas por equipes ou modelos híbridos podem ser mais adequados para empresas SaaS?
</w:t>
      </w:r>
    </w:p>
    <w:p>
      <w:pPr>
        <w:spacing w:after="0"/>
        <w:numPr>
          <w:ilvl w:val="0"/>
          <w:numId w:val="2"/>
        </w:numPr>
      </w:pPr>
      <w:r>
        <w:rPr/>
        <w:t xml:space="preserve">Quais são os possíveis riscos e desvantagens da estratégia de conversão proposta?
</w:t>
      </w:r>
    </w:p>
    <w:p>
      <w:pPr>
        <w:spacing w:after="0"/>
        <w:numPr>
          <w:ilvl w:val="0"/>
          <w:numId w:val="2"/>
        </w:numPr>
      </w:pPr>
      <w:r>
        <w:rPr/>
        <w:t xml:space="preserve">Como a privacidade e a segurança dos dados dos usuários podem ser afetadas pela coleta de muitas informações pessoais para personalizar a experiência do usuário?
</w:t>
      </w:r>
    </w:p>
    <w:p>
      <w:pPr>
        <w:spacing w:after="0"/>
        <w:numPr>
          <w:ilvl w:val="0"/>
          <w:numId w:val="2"/>
        </w:numPr>
      </w:pPr>
      <w:r>
        <w:rPr/>
        <w:t xml:space="preserve">Quais são as evidências específicas ou estudos que apoiam a eficácia da personalização na conversão de usuários gratuitos em pagantes?
</w:t>
      </w:r>
    </w:p>
    <w:p>
      <w:pPr>
        <w:spacing w:after="0"/>
        <w:numPr>
          <w:ilvl w:val="0"/>
          <w:numId w:val="2"/>
        </w:numPr>
      </w:pPr>
      <w:r>
        <w:rPr/>
        <w:t xml:space="preserve">Como outras empresas SaaS implementaram com sucesso outras abordagens de conversão de usuários gratuitos em pagantes?
</w:t>
      </w:r>
    </w:p>
    <w:p>
      <w:pPr>
        <w:numPr>
          <w:ilvl w:val="0"/>
          <w:numId w:val="2"/>
        </w:numPr>
      </w:pPr>
      <w:r>
        <w:rPr/>
        <w:t xml:space="preserve">Quais são as limitações do modelo PLG e como ele pode não ser adequado para todas as empresas SaaS?</w:t>
      </w:r>
    </w:p>
    <w:p>
      <w:pPr>
        <w:pStyle w:val="Heading1"/>
      </w:pPr>
      <w:bookmarkStart w:id="6" w:name="_Toc6"/>
      <w:r>
        <w:t>Report location:</w:t>
      </w:r>
      <w:bookmarkEnd w:id="6"/>
    </w:p>
    <w:p>
      <w:hyperlink r:id="rId8" w:history="1">
        <w:r>
          <w:rPr>
            <w:color w:val="2980b9"/>
            <w:u w:val="single"/>
          </w:rPr>
          <w:t xml:space="preserve">https://www.fullpicture.app/item/acc14e4c4cb9b09dd8b29b7f49a1bd61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C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ylepoyar.substack.com/p/free-to-paid-conversion-at-scale" TargetMode="External"/><Relationship Id="rId8" Type="http://schemas.openxmlformats.org/officeDocument/2006/relationships/hyperlink" Target="https://www.fullpicture.app/item/acc14e4c4cb9b09dd8b29b7f49a1b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2024-01-18T17:45:47+01:00</dcterms:created>
  <dcterms:modified xsi:type="dcterms:W3CDTF">2024-01-18T17:45:47+01:00</dcterms:modified>
</cp:coreProperties>
</file>

<file path=docProps/custom.xml><?xml version="1.0" encoding="utf-8"?>
<Properties xmlns="http://schemas.openxmlformats.org/officeDocument/2006/custom-properties" xmlns:vt="http://schemas.openxmlformats.org/officeDocument/2006/docPropsVTypes"/>
</file>