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连续肾脏替代治疗中的局部枸橼酸盐抗凝：代谢恐惧是逻辑的敌人吗？随机对照试验的系统评价和荟萃分析 - PMC</w:t>
      </w:r>
      <w:br/>
      <w:hyperlink r:id="rId7" w:history="1">
        <w:r>
          <w:rPr>
            <w:color w:val="2980b9"/>
            <w:u w:val="single"/>
          </w:rPr>
          <w:t xml:space="preserve">https://www.ncbi.nlm.nih.gov/pmc/articles/PMC10221969/</w:t>
        </w:r>
      </w:hyperlink>
    </w:p>
    <w:p>
      <w:pPr>
        <w:pStyle w:val="Heading1"/>
      </w:pPr>
      <w:bookmarkStart w:id="2" w:name="_Toc2"/>
      <w:r>
        <w:t>Article summary:</w:t>
      </w:r>
      <w:bookmarkEnd w:id="2"/>
    </w:p>
    <w:p>
      <w:pPr>
        <w:jc w:val="both"/>
      </w:pPr>
      <w:r>
        <w:rPr/>
        <w:t xml:space="preserve">1. 连续肾脏替代疗法（CRRT）是危重患者急性肾损伤的首选治疗方法。</w:t>
      </w:r>
    </w:p>
    <w:p>
      <w:pPr>
        <w:jc w:val="both"/>
      </w:pPr>
      <w:r>
        <w:rPr/>
        <w:t xml:space="preserve">2. 柠檬酸盐抗凝治疗在CRRT中与肝素相比具有相似的安全性和有效性。</w:t>
      </w:r>
    </w:p>
    <w:p>
      <w:pPr>
        <w:jc w:val="both"/>
      </w:pPr>
      <w:r>
        <w:rPr/>
        <w:t xml:space="preserve">3. 柠檬酸盐抗凝治疗可以降低出血和回路丢失的风险，同时延长滤器寿命。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这篇文章是一项关于连续肾脏替代治疗中局部枸橼酸盐抗凝的系统评价和荟萃分析。然而，从文章的标题和摘要来看，很难确定它是否存在潜在的偏见或其他问题。因此，我们需要对文章进行详细的批判性分析。</w:t>
      </w:r>
    </w:p>
    <w:p>
      <w:pPr>
        <w:jc w:val="both"/>
      </w:pPr>
      <w:r>
        <w:rPr/>
        <w:t xml:space="preserve"/>
      </w:r>
    </w:p>
    <w:p>
      <w:pPr>
        <w:jc w:val="both"/>
      </w:pPr>
      <w:r>
        <w:rPr/>
        <w:t xml:space="preserve">首先，我们可以注意到文章提到了使用随机对照试验（RCTs）进行评估。这是一个优点，因为随机对照试验通常被认为是评估干预措施效果的最可靠方法之一。然而，我们需要进一步了解这些RCTs的质量和方法学是否足够可靠。</w:t>
      </w:r>
    </w:p>
    <w:p>
      <w:pPr>
        <w:jc w:val="both"/>
      </w:pPr>
      <w:r>
        <w:rPr/>
        <w:t xml:space="preserve"/>
      </w:r>
    </w:p>
    <w:p>
      <w:pPr>
        <w:jc w:val="both"/>
      </w:pPr>
      <w:r>
        <w:rPr/>
        <w:t xml:space="preserve">其次，在结果部分中，文章提到了代谢性碱中毒、代谢性酸中毒和低钙血症等代谢并发症的发生率。然而，并没有提供这些并发症在两组之间的具体差异以及统计学意义。这使得读者很难判断局部枸橼酸盐抗凝与肝素抗凝治疗在代谢并发症方面是否存在显著差异。</w:t>
      </w:r>
    </w:p>
    <w:p>
      <w:pPr>
        <w:jc w:val="both"/>
      </w:pPr>
      <w:r>
        <w:rPr/>
        <w:t xml:space="preserve"/>
      </w:r>
    </w:p>
    <w:p>
      <w:pPr>
        <w:jc w:val="both"/>
      </w:pPr>
      <w:r>
        <w:rPr/>
        <w:t xml:space="preserve">此外，在讨论部分中，文章提到局部枸橼酸盐抗凝治疗相对于肝素抗凝治疗具有较低的出血和回路丢失风险。然而，文章并没有提供这些结果的具体数据和统计学意义。因此，我们无法确定这些差异是否是显著的。</w:t>
      </w:r>
    </w:p>
    <w:p>
      <w:pPr>
        <w:jc w:val="both"/>
      </w:pPr>
      <w:r>
        <w:rPr/>
        <w:t xml:space="preserve"/>
      </w:r>
    </w:p>
    <w:p>
      <w:pPr>
        <w:jc w:val="both"/>
      </w:pPr>
      <w:r>
        <w:rPr/>
        <w:t xml:space="preserve">另外，文章还提到了枸橼酸盐抗凝治疗与肝素抗凝治疗在28天和90天死亡率方面的差异。然而，同样地，文章没有提供具体数据和统计学意义。这使得读者很难判断局部枸橼酸盐抗凝治疗是否与更好的生存率相关。</w:t>
      </w:r>
    </w:p>
    <w:p>
      <w:pPr>
        <w:jc w:val="both"/>
      </w:pPr>
      <w:r>
        <w:rPr/>
        <w:t xml:space="preserve"/>
      </w:r>
    </w:p>
    <w:p>
      <w:pPr>
        <w:jc w:val="both"/>
      </w:pPr>
      <w:r>
        <w:rPr/>
        <w:t xml:space="preserve">最后，在结论部分中，文章声称局部枸橼酸盐抗凝治疗是需要连续肾脏替代治疗的危重患者的安全抗凝药，并且两组之间代谢并发症没有显著差异。然而，由于前面提到的缺乏具体数据和统计学意义，这个结论可能过于乐观。</w:t>
      </w:r>
    </w:p>
    <w:p>
      <w:pPr>
        <w:jc w:val="both"/>
      </w:pPr>
      <w:r>
        <w:rPr/>
        <w:t xml:space="preserve"/>
      </w:r>
    </w:p>
    <w:p>
      <w:pPr>
        <w:jc w:val="both"/>
      </w:pPr>
      <w:r>
        <w:rPr/>
        <w:t xml:space="preserve">总体来说，这篇文章存在一些问题。首先，它缺乏详细的数据和统计学意义，使得读者很难判断结果的可靠性和显著性。其次，文章没有提供关于RCTs的质量和方法学的详细信息，这可能影响到结果的可靠性。因此，读者需要谨慎对待这篇文章中提出的结论，并进一步查阅其他相关研究来获取更全面和可靠的信息。</w:t>
      </w:r>
    </w:p>
    <w:p>
      <w:pPr>
        <w:pStyle w:val="Heading1"/>
      </w:pPr>
      <w:bookmarkStart w:id="5" w:name="_Toc5"/>
      <w:r>
        <w:t>Topics for further research:</w:t>
      </w:r>
      <w:bookmarkEnd w:id="5"/>
    </w:p>
    <w:p>
      <w:pPr>
        <w:spacing w:after="0"/>
        <w:numPr>
          <w:ilvl w:val="0"/>
          <w:numId w:val="2"/>
        </w:numPr>
      </w:pPr>
      <w:r>
        <w:rPr/>
        <w:t xml:space="preserve">连续肾脏替代治疗中局部枸橼酸盐抗凝的效果和安全性
</w:t>
      </w:r>
    </w:p>
    <w:p>
      <w:pPr>
        <w:spacing w:after="0"/>
        <w:numPr>
          <w:ilvl w:val="0"/>
          <w:numId w:val="2"/>
        </w:numPr>
      </w:pPr>
      <w:r>
        <w:rPr/>
        <w:t xml:space="preserve">随机对照试验评估局部枸橼酸盐抗凝的质量和方法学
</w:t>
      </w:r>
    </w:p>
    <w:p>
      <w:pPr>
        <w:spacing w:after="0"/>
        <w:numPr>
          <w:ilvl w:val="0"/>
          <w:numId w:val="2"/>
        </w:numPr>
      </w:pPr>
      <w:r>
        <w:rPr/>
        <w:t xml:space="preserve">局部枸橼酸盐抗凝与肝素抗凝治疗在代谢并发症方面的差异
</w:t>
      </w:r>
    </w:p>
    <w:p>
      <w:pPr>
        <w:spacing w:after="0"/>
        <w:numPr>
          <w:ilvl w:val="0"/>
          <w:numId w:val="2"/>
        </w:numPr>
      </w:pPr>
      <w:r>
        <w:rPr/>
        <w:t xml:space="preserve">局部枸橼酸盐抗凝与肝素抗凝治疗在出血和回路丢失风险方面的差异
</w:t>
      </w:r>
    </w:p>
    <w:p>
      <w:pPr>
        <w:spacing w:after="0"/>
        <w:numPr>
          <w:ilvl w:val="0"/>
          <w:numId w:val="2"/>
        </w:numPr>
      </w:pPr>
      <w:r>
        <w:rPr/>
        <w:t xml:space="preserve">局部枸橼酸盐抗凝与肝素抗凝治疗在28天和90天死亡率方面的差异
</w:t>
      </w:r>
    </w:p>
    <w:p>
      <w:pPr>
        <w:numPr>
          <w:ilvl w:val="0"/>
          <w:numId w:val="2"/>
        </w:numPr>
      </w:pPr>
      <w:r>
        <w:rPr/>
        <w:t xml:space="preserve">文章中结论的可靠性和乐观性</w:t>
      </w:r>
    </w:p>
    <w:p>
      <w:pPr>
        <w:pStyle w:val="Heading1"/>
      </w:pPr>
      <w:bookmarkStart w:id="6" w:name="_Toc6"/>
      <w:r>
        <w:t>Report location:</w:t>
      </w:r>
      <w:bookmarkEnd w:id="6"/>
    </w:p>
    <w:p>
      <w:hyperlink r:id="rId8" w:history="1">
        <w:r>
          <w:rPr>
            <w:color w:val="2980b9"/>
            <w:u w:val="single"/>
          </w:rPr>
          <w:t xml:space="preserve">https://www.fullpicture.app/item/acf86b24315c554e087b569f27affe01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BF4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221969/" TargetMode="External"/><Relationship Id="rId8" Type="http://schemas.openxmlformats.org/officeDocument/2006/relationships/hyperlink" Target="https://www.fullpicture.app/item/acf86b24315c554e087b569f27affe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2024-06-22T22:55:11+02:00</dcterms:created>
  <dcterms:modified xsi:type="dcterms:W3CDTF">2024-06-22T22:55:11+02:00</dcterms:modified>
</cp:coreProperties>
</file>

<file path=docProps/custom.xml><?xml version="1.0" encoding="utf-8"?>
<Properties xmlns="http://schemas.openxmlformats.org/officeDocument/2006/custom-properties" xmlns:vt="http://schemas.openxmlformats.org/officeDocument/2006/docPropsVTypes"/>
</file>