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癌症 |免费全文 |NSCLC中的KRAS G12C突变：从靶点到耐药性</w:t>
      </w:r>
      <w:br/>
      <w:hyperlink r:id="rId7" w:history="1">
        <w:r>
          <w:rPr>
            <w:color w:val="2980b9"/>
            <w:u w:val="single"/>
          </w:rPr>
          <w:t xml:space="preserve">https://www.mdpi.com/2072-6694/13/11/2541</w:t>
        </w:r>
      </w:hyperlink>
    </w:p>
    <w:p>
      <w:pPr>
        <w:pStyle w:val="Heading1"/>
      </w:pPr>
      <w:bookmarkStart w:id="2" w:name="_Toc2"/>
      <w:r>
        <w:t>Article summary:</w:t>
      </w:r>
      <w:bookmarkEnd w:id="2"/>
    </w:p>
    <w:p>
      <w:pPr>
        <w:jc w:val="both"/>
      </w:pPr>
      <w:r>
        <w:rPr/>
        <w:t xml:space="preserve">1. KRAS G12C is a common oncogenic driver mutation in many cancers, including non-small cell lung cancer (NSCLC).</w:t>
      </w:r>
    </w:p>
    <w:p>
      <w:pPr>
        <w:jc w:val="both"/>
      </w:pPr>
      <w:r>
        <w:rPr/>
        <w:t xml:space="preserve">2. Specific small molecule inhibitors targeting KRAS G12C have been developed, but they face limitations due to the emergence of resistance mechanisms.</w:t>
      </w:r>
    </w:p>
    <w:p>
      <w:pPr>
        <w:jc w:val="both"/>
      </w:pPr>
      <w:r>
        <w:rPr/>
        <w:t xml:space="preserve">3. The biology behind KRAS G12C inhibitor resistance has been studied through whole-genome methods, and potential methods to improve the efficacy of these molecules are being explored.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KRAS mutations in non-small cell lung cancer (NSCLC) and the development of targeted therapies for KRAS G12C. The authors discuss the biology of KRAS and its signaling pathways, as well as primary and secondary resistance mechanisms to KRAS inhibitors. They also explore potential strategies to overcome resistance.</w:t>
      </w:r>
    </w:p>
    <w:p>
      <w:pPr>
        <w:jc w:val="both"/>
      </w:pPr>
      <w:r>
        <w:rPr/>
        <w:t xml:space="preserve"/>
      </w:r>
    </w:p>
    <w:p>
      <w:pPr>
        <w:jc w:val="both"/>
      </w:pPr>
      <w:r>
        <w:rPr/>
        <w:t xml:space="preserve">Overall, the article appears to be well-researched and informative. However, there are some potential biases and limitations that should be considered. </w:t>
      </w:r>
    </w:p>
    <w:p>
      <w:pPr>
        <w:jc w:val="both"/>
      </w:pPr>
      <w:r>
        <w:rPr/>
        <w:t xml:space="preserve"/>
      </w:r>
    </w:p>
    <w:p>
      <w:pPr>
        <w:jc w:val="both"/>
      </w:pPr>
      <w:r>
        <w:rPr/>
        <w:t xml:space="preserve">Firstly, the article focuses primarily on the development of targeted therapies for KRAS G12C, which is only one type of KRAS mutation. While this mutation is common in NSCLC, it is important to note that other types of KRAS mutations may require different treatment approaches.</w:t>
      </w:r>
    </w:p>
    <w:p>
      <w:pPr>
        <w:jc w:val="both"/>
      </w:pPr>
      <w:r>
        <w:rPr/>
        <w:t xml:space="preserve"/>
      </w:r>
    </w:p>
    <w:p>
      <w:pPr>
        <w:jc w:val="both"/>
      </w:pPr>
      <w:r>
        <w:rPr/>
        <w:t xml:space="preserve">Additionally, while the authors briefly mention the limitations of kinase inhibitors due to resistance mechanisms, they do not fully explore potential counterarguments or alternative treatment options. For example, immunotherapy has shown promise in treating NSCLC and may be an alternative or complementary approach to targeted therapy.</w:t>
      </w:r>
    </w:p>
    <w:p>
      <w:pPr>
        <w:jc w:val="both"/>
      </w:pPr>
      <w:r>
        <w:rPr/>
        <w:t xml:space="preserve"/>
      </w:r>
    </w:p>
    <w:p>
      <w:pPr>
        <w:jc w:val="both"/>
      </w:pPr>
      <w:r>
        <w:rPr/>
        <w:t xml:space="preserve">Furthermore, there is a potential bias towards promoting targeted therapies for NSCLC. While these therapies have shown promise in improving outcomes for patients with NSCLC, it is important to consider their potential risks and limitations as well.</w:t>
      </w:r>
    </w:p>
    <w:p>
      <w:pPr>
        <w:jc w:val="both"/>
      </w:pPr>
      <w:r>
        <w:rPr/>
        <w:t xml:space="preserve"/>
      </w:r>
    </w:p>
    <w:p>
      <w:pPr>
        <w:jc w:val="both"/>
      </w:pPr>
      <w:r>
        <w:rPr/>
        <w:t xml:space="preserve">Overall, while the article provides valuable insights into the biology of KRAS mutations and targeted therapies for NSCLC, readers should approach it with a critical eye and consider alternative perspectives and treatment options.</w:t>
      </w:r>
    </w:p>
    <w:p>
      <w:pPr>
        <w:pStyle w:val="Heading1"/>
      </w:pPr>
      <w:bookmarkStart w:id="5" w:name="_Toc5"/>
      <w:r>
        <w:t>Topics for further research:</w:t>
      </w:r>
      <w:bookmarkEnd w:id="5"/>
    </w:p>
    <w:p>
      <w:pPr>
        <w:spacing w:after="0"/>
        <w:numPr>
          <w:ilvl w:val="0"/>
          <w:numId w:val="2"/>
        </w:numPr>
      </w:pPr>
      <w:r>
        <w:rPr/>
        <w:t xml:space="preserve">Alternative treatment options for non-small cell lung cancer
</w:t>
      </w:r>
    </w:p>
    <w:p>
      <w:pPr>
        <w:spacing w:after="0"/>
        <w:numPr>
          <w:ilvl w:val="0"/>
          <w:numId w:val="2"/>
        </w:numPr>
      </w:pPr>
      <w:r>
        <w:rPr/>
        <w:t xml:space="preserve">Types of KRAS mutations and their treatment implications
</w:t>
      </w:r>
    </w:p>
    <w:p>
      <w:pPr>
        <w:spacing w:after="0"/>
        <w:numPr>
          <w:ilvl w:val="0"/>
          <w:numId w:val="2"/>
        </w:numPr>
      </w:pPr>
      <w:r>
        <w:rPr/>
        <w:t xml:space="preserve">Immunotherapy for NSCLC
</w:t>
      </w:r>
    </w:p>
    <w:p>
      <w:pPr>
        <w:spacing w:after="0"/>
        <w:numPr>
          <w:ilvl w:val="0"/>
          <w:numId w:val="2"/>
        </w:numPr>
      </w:pPr>
      <w:r>
        <w:rPr/>
        <w:t xml:space="preserve">Limitations and risks of targeted therapies for NSCLC
</w:t>
      </w:r>
    </w:p>
    <w:p>
      <w:pPr>
        <w:spacing w:after="0"/>
        <w:numPr>
          <w:ilvl w:val="0"/>
          <w:numId w:val="2"/>
        </w:numPr>
      </w:pPr>
      <w:r>
        <w:rPr/>
        <w:t xml:space="preserve">Resistance mechanisms to kinase inhibitors in NSCLC
</w:t>
      </w:r>
    </w:p>
    <w:p>
      <w:pPr>
        <w:numPr>
          <w:ilvl w:val="0"/>
          <w:numId w:val="2"/>
        </w:numPr>
      </w:pPr>
      <w:r>
        <w:rPr/>
        <w:t xml:space="preserve">Combination therapies for NSCLC treatment</w:t>
      </w:r>
    </w:p>
    <w:p>
      <w:pPr>
        <w:pStyle w:val="Heading1"/>
      </w:pPr>
      <w:bookmarkStart w:id="6" w:name="_Toc6"/>
      <w:r>
        <w:t>Report location:</w:t>
      </w:r>
      <w:bookmarkEnd w:id="6"/>
    </w:p>
    <w:p>
      <w:hyperlink r:id="rId8" w:history="1">
        <w:r>
          <w:rPr>
            <w:color w:val="2980b9"/>
            <w:u w:val="single"/>
          </w:rPr>
          <w:t xml:space="preserve">https://www.fullpicture.app/item/acfa31ab9617364ec1902f3993712332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DF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3/11/2541" TargetMode="External"/><Relationship Id="rId8" Type="http://schemas.openxmlformats.org/officeDocument/2006/relationships/hyperlink" Target="https://www.fullpicture.app/item/acfa31ab9617364ec1902f39937123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2024-02-16T12:36:21+01:00</dcterms:created>
  <dcterms:modified xsi:type="dcterms:W3CDTF">2024-02-16T12:36:21+01:00</dcterms:modified>
</cp:coreProperties>
</file>

<file path=docProps/custom.xml><?xml version="1.0" encoding="utf-8"?>
<Properties xmlns="http://schemas.openxmlformats.org/officeDocument/2006/custom-properties" xmlns:vt="http://schemas.openxmlformats.org/officeDocument/2006/docPropsVTypes"/>
</file>