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association of neutrophil to lymphocyte ratio, platelet to lymphocyte ratio, and lymphocyte to monocyte ratio with post-thrombolysis early neurological outcomes in patients with acute ischemic stroke - PubMed</w:t>
      </w:r>
      <w:br/>
      <w:hyperlink r:id="rId7" w:history="1">
        <w:r>
          <w:rPr>
            <w:color w:val="2980b9"/>
            <w:u w:val="single"/>
          </w:rPr>
          <w:t xml:space="preserve">https://pubmed.ncbi.nlm.nih.gov/33610168/</w:t>
        </w:r>
      </w:hyperlink>
    </w:p>
    <w:p>
      <w:pPr>
        <w:pStyle w:val="Heading1"/>
      </w:pPr>
      <w:bookmarkStart w:id="2" w:name="_Toc2"/>
      <w:r>
        <w:t>Article summary:</w:t>
      </w:r>
      <w:bookmarkEnd w:id="2"/>
    </w:p>
    <w:p>
      <w:pPr>
        <w:jc w:val="both"/>
      </w:pPr>
      <w:r>
        <w:rPr/>
        <w:t xml:space="preserve">1. This study investigated the association of neutrophil to lymphocyte ratio (NLR), platelet to lymphocyte ratio (PLR), and lymphocyte to monocyte ratio (LMR) with post-thrombolysis early neurological outcomes in patients with acute ischemic stroke.</w:t>
      </w:r>
    </w:p>
    <w:p>
      <w:pPr>
        <w:jc w:val="both"/>
      </w:pPr>
      <w:r>
        <w:rPr/>
        <w:t xml:space="preserve">2. The results showed that NLR, PLR, and LMR were independent factors for post-thrombolysis early neurological deterioration (END). NLR was an independent factor for post-thrombolysis early neurological improvement (ENI).</w:t>
      </w:r>
    </w:p>
    <w:p>
      <w:pPr>
        <w:jc w:val="both"/>
      </w:pPr>
      <w:r>
        <w:rPr/>
        <w:t xml:space="preserve">3. The area under curve (AUC) of NLR, PLR, and LMR to discriminate END were 0.763, 0.703, and 0.551 respectively; AUC of NLR, PLR, and LMR to discriminate ENI were 0.695, 0.530, and 0.547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well-written research paper that provides a comprehensive overview of the association between neutrophil to lymphocyte ratio (NLR), platelet to lymphocyte ratio (PLR), and lymphocyte to monocyte ratio (LMR) with post-thrombolysis early neurological outcomes in patients with acute ischemic stroke. The authors have provided detailed information on the methods used in their study as well as the results obtained from their analysis which are presented in a clear manner making it easy for readers to understand the findings of this study.</w:t>
      </w:r>
    </w:p>
    <w:p>
      <w:pPr>
        <w:jc w:val="both"/>
      </w:pPr>
      <w:r>
        <w:rPr/>
        <w:t xml:space="preserve">The authors have also discussed potential biases that may have affected their results such as selection bias due to the fact that only patients who underwent thrombolysis were included in this study which may not be representative of all AIS patients; however they did not provide any further details on how these biases could have been avoided or minimized which could be seen as a limitation of this study. Additionally, there is no discussion on possible risks associated with thrombolysis treatment which should be noted by readers when interpreting the results of this study.</w:t>
      </w:r>
    </w:p>
    <w:p>
      <w:pPr>
        <w:jc w:val="both"/>
      </w:pPr>
      <w:r>
        <w:rPr/>
        <w:t xml:space="preserve">In conclusion, this article provides useful insights into the association between NLR, PLR, and LMR with post-thrombolysis early neurological outcomes in AIS patients; however more research is needed to further explore potential biases and risks associated with thrombolysis treatment before any definitive conclusions can be drawn from this study's findings.</w:t>
      </w:r>
    </w:p>
    <w:p>
      <w:pPr>
        <w:pStyle w:val="Heading1"/>
      </w:pPr>
      <w:bookmarkStart w:id="5" w:name="_Toc5"/>
      <w:r>
        <w:t>Topics for further research:</w:t>
      </w:r>
      <w:bookmarkEnd w:id="5"/>
    </w:p>
    <w:p>
      <w:pPr>
        <w:spacing w:after="0"/>
        <w:numPr>
          <w:ilvl w:val="0"/>
          <w:numId w:val="2"/>
        </w:numPr>
      </w:pPr>
      <w:r>
        <w:rPr/>
        <w:t xml:space="preserve">Thrombolysis treatment risks</w:t>
      </w:r>
    </w:p>
    <w:p>
      <w:pPr>
        <w:spacing w:after="0"/>
        <w:numPr>
          <w:ilvl w:val="0"/>
          <w:numId w:val="2"/>
        </w:numPr>
      </w:pPr>
      <w:r>
        <w:rPr/>
        <w:t xml:space="preserve">Selection bias in acute ischemic stroke</w:t>
      </w:r>
    </w:p>
    <w:p>
      <w:pPr>
        <w:spacing w:after="0"/>
        <w:numPr>
          <w:ilvl w:val="0"/>
          <w:numId w:val="2"/>
        </w:numPr>
      </w:pPr>
      <w:r>
        <w:rPr/>
        <w:t xml:space="preserve">Post-thrombolysis neurological outcomes</w:t>
      </w:r>
    </w:p>
    <w:p>
      <w:pPr>
        <w:spacing w:after="0"/>
        <w:numPr>
          <w:ilvl w:val="0"/>
          <w:numId w:val="2"/>
        </w:numPr>
      </w:pPr>
      <w:r>
        <w:rPr/>
        <w:t xml:space="preserve">Neutrophil to lymphocyte ratio and stroke</w:t>
      </w:r>
    </w:p>
    <w:p>
      <w:pPr>
        <w:spacing w:after="0"/>
        <w:numPr>
          <w:ilvl w:val="0"/>
          <w:numId w:val="2"/>
        </w:numPr>
      </w:pPr>
      <w:r>
        <w:rPr/>
        <w:t xml:space="preserve">Platelet to lymphocyte ratio and stroke</w:t>
      </w:r>
    </w:p>
    <w:p>
      <w:pPr>
        <w:numPr>
          <w:ilvl w:val="0"/>
          <w:numId w:val="2"/>
        </w:numPr>
      </w:pPr>
      <w:r>
        <w:rPr/>
        <w:t xml:space="preserve">Lymphocyte to monocyte ratio and stroke</w:t>
      </w:r>
    </w:p>
    <w:p>
      <w:pPr>
        <w:pStyle w:val="Heading1"/>
      </w:pPr>
      <w:bookmarkStart w:id="6" w:name="_Toc6"/>
      <w:r>
        <w:t>Report location:</w:t>
      </w:r>
      <w:bookmarkEnd w:id="6"/>
    </w:p>
    <w:p>
      <w:hyperlink r:id="rId8" w:history="1">
        <w:r>
          <w:rPr>
            <w:color w:val="2980b9"/>
            <w:u w:val="single"/>
          </w:rPr>
          <w:t xml:space="preserve">https://www.fullpicture.app/item/ad3399cadf480f6e0f317188550fe7e7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513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610168/" TargetMode="External"/><Relationship Id="rId8" Type="http://schemas.openxmlformats.org/officeDocument/2006/relationships/hyperlink" Target="https://www.fullpicture.app/item/ad3399cadf480f6e0f317188550fe7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2023-02-19T23:42:16+01:00</dcterms:created>
  <dcterms:modified xsi:type="dcterms:W3CDTF">2023-02-19T23:42:16+01:00</dcterms:modified>
</cp:coreProperties>
</file>

<file path=docProps/custom.xml><?xml version="1.0" encoding="utf-8"?>
<Properties xmlns="http://schemas.openxmlformats.org/officeDocument/2006/custom-properties" xmlns:vt="http://schemas.openxmlformats.org/officeDocument/2006/docPropsVTypes"/>
</file>