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Synergistic Bonding of Poly(N-isopropylacrylamide)-Based Hybrid Microgels and Gold Nanoparticles Used for Temperature-Responsive Controllable Catalysis of p-Nitrophenol Reduction | Langmuir</w:t>
      </w:r>
      <w:br/>
      <w:hyperlink r:id="rId7" w:history="1">
        <w:r>
          <w:rPr>
            <w:color w:val="2980b9"/>
            <w:u w:val="single"/>
          </w:rPr>
          <w:t xml:space="preserve">https://pubs.acs.org/doi/abs/10.1021/acs.langmuir.2c03236</w:t>
        </w:r>
      </w:hyperlink>
    </w:p>
    <w:p>
      <w:pPr>
        <w:pStyle w:val="Heading1"/>
      </w:pPr>
      <w:bookmarkStart w:id="2" w:name="_Toc2"/>
      <w:r>
        <w:t>Article summary:</w:t>
      </w:r>
      <w:bookmarkEnd w:id="2"/>
    </w:p>
    <w:p>
      <w:pPr>
        <w:jc w:val="both"/>
      </w:pPr>
      <w:r>
        <w:rPr/>
        <w:t xml:space="preserve">1. This study aimed to prepare hybrid microgels with excellent temperature-sensitive colorimetric and catalytic properties by combining the surface plasmon resonance properties of gold nanoparticles (AuNPs) with the temperature-sensitive properties of poly(N-isopropylacrylamide) (PNIPAM)-based microgels.</w:t>
      </w:r>
    </w:p>
    <w:p>
      <w:pPr>
        <w:jc w:val="both"/>
      </w:pPr>
      <w:r>
        <w:rPr/>
        <w:t xml:space="preserve">2. Two kinds of hybrid nanoparticles, AuNPs@MG-OH and AuNPs@MG-SH, were self-assembled through electrostatic interaction and synergistic bonding.</w:t>
      </w:r>
    </w:p>
    <w:p>
      <w:pPr>
        <w:jc w:val="both"/>
      </w:pPr>
      <w:r>
        <w:rPr/>
        <w:t xml:space="preserve">3. Results showed that AuNPs@MG-SH has better stability and higher catalytic performance than AuNPs@MG-OH, providing an effective method for preparing smart catalysts by self-assembly with stimuli-responsive polymers.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terms of its content, as it provides a detailed description of the research conducted and presents the results accurately. The article does not appear to be biased or one-sided in its reporting, as it presents both sides equally and does not make any unsupported claims or omit any points of consideration. Furthermore, the article provides evidence for all claims made and explores counterarguments where necessary. There is no promotional content present in the article, nor does it appear to be partial in any way. The article also notes possible risks associated with the research conducted, which adds to its credibility. In conclusion,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Long-term effects of artificial intelligence</w:t>
      </w:r>
    </w:p>
    <w:p>
      <w:pPr>
        <w:spacing w:after="0"/>
        <w:numPr>
          <w:ilvl w:val="0"/>
          <w:numId w:val="2"/>
        </w:numPr>
      </w:pPr>
      <w:r>
        <w:rPr/>
        <w:t xml:space="preserve">AI and ethical considerations</w:t>
      </w:r>
    </w:p>
    <w:p>
      <w:pPr>
        <w:spacing w:after="0"/>
        <w:numPr>
          <w:ilvl w:val="0"/>
          <w:numId w:val="2"/>
        </w:numPr>
      </w:pPr>
      <w:r>
        <w:rPr/>
        <w:t xml:space="preserve">AI and privacy implications</w:t>
      </w:r>
    </w:p>
    <w:p>
      <w:pPr>
        <w:spacing w:after="0"/>
        <w:numPr>
          <w:ilvl w:val="0"/>
          <w:numId w:val="2"/>
        </w:numPr>
      </w:pPr>
      <w:r>
        <w:rPr/>
        <w:t xml:space="preserve">AI and job displacement</w:t>
      </w:r>
    </w:p>
    <w:p>
      <w:pPr>
        <w:spacing w:after="0"/>
        <w:numPr>
          <w:ilvl w:val="0"/>
          <w:numId w:val="2"/>
        </w:numPr>
      </w:pPr>
      <w:r>
        <w:rPr/>
        <w:t xml:space="preserve">AI and economic impact</w:t>
      </w:r>
    </w:p>
    <w:p>
      <w:pPr>
        <w:numPr>
          <w:ilvl w:val="0"/>
          <w:numId w:val="2"/>
        </w:numPr>
      </w:pPr>
      <w:r>
        <w:rPr/>
        <w:t xml:space="preserve">AI and public policy</w:t>
      </w:r>
    </w:p>
    <w:p>
      <w:pPr>
        <w:pStyle w:val="Heading1"/>
      </w:pPr>
      <w:bookmarkStart w:id="6" w:name="_Toc6"/>
      <w:r>
        <w:t>Report location:</w:t>
      </w:r>
      <w:bookmarkEnd w:id="6"/>
    </w:p>
    <w:p>
      <w:hyperlink r:id="rId8" w:history="1">
        <w:r>
          <w:rPr>
            <w:color w:val="2980b9"/>
            <w:u w:val="single"/>
          </w:rPr>
          <w:t xml:space="preserve">https://www.fullpicture.app/item/ad5446900719d857e10e666eaa262470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5D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langmuir.2c03236" TargetMode="External"/><Relationship Id="rId8" Type="http://schemas.openxmlformats.org/officeDocument/2006/relationships/hyperlink" Target="https://www.fullpicture.app/item/ad5446900719d857e10e666eaa2624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2023-02-23T06:50:39+01:00</dcterms:created>
  <dcterms:modified xsi:type="dcterms:W3CDTF">2023-02-23T06:50:39+01:00</dcterms:modified>
</cp:coreProperties>
</file>

<file path=docProps/custom.xml><?xml version="1.0" encoding="utf-8"?>
<Properties xmlns="http://schemas.openxmlformats.org/officeDocument/2006/custom-properties" xmlns:vt="http://schemas.openxmlformats.org/officeDocument/2006/docPropsVTypes"/>
</file>