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Protein destabilization and loss of protein-protein interaction are fundamental mechanisms in cblA-type methylmalonic aciduria - Zurich Open Repository and Archive</w:t>
      </w:r>
      <w:br/>
      <w:hyperlink r:id="rId7" w:history="1">
        <w:r>
          <w:rPr>
            <w:color w:val="2980b9"/>
            <w:u w:val="single"/>
          </w:rPr>
          <w:t xml:space="preserve">https://www.zora.uzh.ch/id/eprint/145745/</w:t>
        </w:r>
      </w:hyperlink>
    </w:p>
    <w:p>
      <w:pPr>
        <w:pStyle w:val="Heading1"/>
      </w:pPr>
      <w:bookmarkStart w:id="2" w:name="_Toc2"/>
      <w:r>
        <w:t>Article summary:</w:t>
      </w:r>
      <w:bookmarkEnd w:id="2"/>
    </w:p>
    <w:p>
      <w:pPr>
        <w:jc w:val="both"/>
      </w:pPr>
      <w:r>
        <w:rPr/>
        <w:t xml:space="preserve">1. cblA-type methylmalonic aciduria is caused by mutations in the MMAA gene, which regulates the incorporation of adenosylcobalamin (AdoCbl) into the enzyme methylmalonyl-CoA mutase (MUT).</w:t>
      </w:r>
    </w:p>
    <w:p>
      <w:pPr>
        <w:jc w:val="both"/>
      </w:pPr>
      <w:r>
        <w:rPr/>
        <w:t xml:space="preserve">2. Missense mutations in MMAA can lead to protein destabilization and loss of protein-protein interaction with MUT, resulting in decreased GTPase activity stimulation and interference with AdoCbl transfer from MMAB to MUT.</w:t>
      </w:r>
    </w:p>
    <w:p>
      <w:pPr>
        <w:jc w:val="both"/>
      </w:pPr>
      <w:r>
        <w:rPr/>
        <w:t xml:space="preserve">3. The study identified 19 novel mutations in 67 patients with cblA-type MMA and suggests that loss of functional interaction between MMAA and MUT is a fundamental mechanism underlying the disorder.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作为一篇科学研究论文，该文章并没有明显的偏见或宣传内容。然而，它可能存在一些局限性和缺失的考虑点。</w:t>
      </w:r>
    </w:p>
    <w:p>
      <w:pPr>
        <w:jc w:val="both"/>
      </w:pPr>
      <w:r>
        <w:rPr/>
        <w:t xml:space="preserve"/>
      </w:r>
    </w:p>
    <w:p>
      <w:pPr>
        <w:jc w:val="both"/>
      </w:pPr>
      <w:r>
        <w:rPr/>
        <w:t xml:space="preserve">首先，该文章只涉及一种代谢紊乱疾病（cblA型甲基丙二酸血症），因此其结论可能不适用于其他类型的甲基丙二酸血症或代谢紊乱疾病。此外，该文章仅关注了MMAA基因突变对蛋白质稳定性和蛋白质-蛋白质相互作用的影响，而未探讨其他潜在机制。</w:t>
      </w:r>
    </w:p>
    <w:p>
      <w:pPr>
        <w:jc w:val="both"/>
      </w:pPr>
      <w:r>
        <w:rPr/>
        <w:t xml:space="preserve"/>
      </w:r>
    </w:p>
    <w:p>
      <w:pPr>
        <w:jc w:val="both"/>
      </w:pPr>
      <w:r>
        <w:rPr/>
        <w:t xml:space="preserve">其次，该文章提供了大量实验数据来支持其结论，但并未探索任何反驳证据或潜在风险。例如，在分析新发现的19种突变时，并未考虑这些突变是否会导致其他副作用或影响MMAA基因的其他功能。</w:t>
      </w:r>
    </w:p>
    <w:p>
      <w:pPr>
        <w:jc w:val="both"/>
      </w:pPr>
      <w:r>
        <w:rPr/>
        <w:t xml:space="preserve"/>
      </w:r>
    </w:p>
    <w:p>
      <w:pPr>
        <w:jc w:val="both"/>
      </w:pPr>
      <w:r>
        <w:rPr/>
        <w:t xml:space="preserve">最后，尽管该文章提供了大量有关MMAA基因突变如何导致cblA型甲基丙二酸血症的信息，但它并未提供任何治疗建议或指南。这可能会使读者感到困惑或无助。</w:t>
      </w:r>
    </w:p>
    <w:p>
      <w:pPr>
        <w:jc w:val="both"/>
      </w:pPr>
      <w:r>
        <w:rPr/>
        <w:t xml:space="preserve"/>
      </w:r>
    </w:p>
    <w:p>
      <w:pPr>
        <w:jc w:val="both"/>
      </w:pPr>
      <w:r>
        <w:rPr/>
        <w:t xml:space="preserve">总之，尽管该文章是一项重要的科学研究成果，但仍存在一些局限性和缺失的考虑点。需要更多相关研究来验证其结论，并探索其他潜在机制和治疗方法。</w:t>
      </w:r>
    </w:p>
    <w:p>
      <w:pPr>
        <w:pStyle w:val="Heading1"/>
      </w:pPr>
      <w:bookmarkStart w:id="5" w:name="_Toc5"/>
      <w:r>
        <w:t>Topics for further research:</w:t>
      </w:r>
      <w:bookmarkEnd w:id="5"/>
    </w:p>
    <w:p>
      <w:pPr>
        <w:spacing w:after="0"/>
        <w:numPr>
          <w:ilvl w:val="0"/>
          <w:numId w:val="2"/>
        </w:numPr>
      </w:pPr>
      <w:r>
        <w:rPr/>
        <w:t xml:space="preserve">Other types of methylmalonic acidemia
</w:t>
      </w:r>
    </w:p>
    <w:p>
      <w:pPr>
        <w:spacing w:after="0"/>
        <w:numPr>
          <w:ilvl w:val="0"/>
          <w:numId w:val="2"/>
        </w:numPr>
      </w:pPr>
      <w:r>
        <w:rPr/>
        <w:t xml:space="preserve">Potential mechanisms beyond protein stability and interactions
</w:t>
      </w:r>
    </w:p>
    <w:p>
      <w:pPr>
        <w:spacing w:after="0"/>
        <w:numPr>
          <w:ilvl w:val="0"/>
          <w:numId w:val="2"/>
        </w:numPr>
      </w:pPr>
      <w:r>
        <w:rPr/>
        <w:t xml:space="preserve">Refuting evidence or potential risks
</w:t>
      </w:r>
    </w:p>
    <w:p>
      <w:pPr>
        <w:spacing w:after="0"/>
        <w:numPr>
          <w:ilvl w:val="0"/>
          <w:numId w:val="2"/>
        </w:numPr>
      </w:pPr>
      <w:r>
        <w:rPr/>
        <w:t xml:space="preserve">Other functions of the MMAA gene
</w:t>
      </w:r>
    </w:p>
    <w:p>
      <w:pPr>
        <w:spacing w:after="0"/>
        <w:numPr>
          <w:ilvl w:val="0"/>
          <w:numId w:val="2"/>
        </w:numPr>
      </w:pPr>
      <w:r>
        <w:rPr/>
        <w:t xml:space="preserve">Treatment recommendations or guidelines
</w:t>
      </w:r>
    </w:p>
    <w:p>
      <w:pPr>
        <w:numPr>
          <w:ilvl w:val="0"/>
          <w:numId w:val="2"/>
        </w:numPr>
      </w:pPr>
      <w:r>
        <w:rPr/>
        <w:t xml:space="preserve">Further research and validation</w:t>
      </w:r>
    </w:p>
    <w:p>
      <w:pPr>
        <w:pStyle w:val="Heading1"/>
      </w:pPr>
      <w:bookmarkStart w:id="6" w:name="_Toc6"/>
      <w:r>
        <w:t>Report location:</w:t>
      </w:r>
      <w:bookmarkEnd w:id="6"/>
    </w:p>
    <w:p>
      <w:hyperlink r:id="rId8" w:history="1">
        <w:r>
          <w:rPr>
            <w:color w:val="2980b9"/>
            <w:u w:val="single"/>
          </w:rPr>
          <w:t xml:space="preserve">https://www.fullpicture.app/item/adafc2ae2270889d0209674dd8e4f1a3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2D4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ora.uzh.ch/id/eprint/145745/" TargetMode="External"/><Relationship Id="rId8" Type="http://schemas.openxmlformats.org/officeDocument/2006/relationships/hyperlink" Target="https://www.fullpicture.app/item/adafc2ae2270889d0209674dd8e4f1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2024-01-28T00:12:38+01:00</dcterms:created>
  <dcterms:modified xsi:type="dcterms:W3CDTF">2024-01-28T00:12:38+01:00</dcterms:modified>
</cp:coreProperties>
</file>

<file path=docProps/custom.xml><?xml version="1.0" encoding="utf-8"?>
<Properties xmlns="http://schemas.openxmlformats.org/officeDocument/2006/custom-properties" xmlns:vt="http://schemas.openxmlformats.org/officeDocument/2006/docPropsVTypes"/>
</file>