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Modeling and simulation of enterprise carbon management from the perspective of carbon asset value space | IEEE Conference Publication | IEEE Xplore</w:t>
      </w:r>
      <w:br/>
      <w:hyperlink r:id="rId7" w:history="1">
        <w:r>
          <w:rPr>
            <w:color w:val="2980b9"/>
            <w:u w:val="single"/>
          </w:rPr>
          <w:t xml:space="preserve">http://ieeexplore-ieee-org-s.webvpn.zju.edu.cn:8001/document/8333941</w:t>
        </w:r>
      </w:hyperlink>
    </w:p>
    <w:p>
      <w:pPr>
        <w:pStyle w:val="Heading1"/>
      </w:pPr>
      <w:bookmarkStart w:id="2" w:name="_Toc2"/>
      <w:r>
        <w:t>Article summary:</w:t>
      </w:r>
      <w:bookmarkEnd w:id="2"/>
    </w:p>
    <w:p>
      <w:pPr>
        <w:jc w:val="both"/>
      </w:pPr>
      <w:r>
        <w:rPr/>
        <w:t xml:space="preserve">1. 本文从碳资产的多重价值属性出发，建立了一个三维价值空间模型，包括现实价值、可持续价值和独特价值，以进行模拟分析。</w:t>
      </w:r>
    </w:p>
    <w:p>
      <w:pPr>
        <w:jc w:val="both"/>
      </w:pPr>
      <w:r>
        <w:rPr/>
        <w:t xml:space="preserve">2. 通过对Sempra Energy的案例研究，建立了碳资产交互演化数学模型，并提出了企业在低碳发展中的碳管理策略。</w:t>
      </w:r>
    </w:p>
    <w:p>
      <w:pPr>
        <w:jc w:val="both"/>
      </w:pPr>
      <w:r>
        <w:rPr/>
        <w:t xml:space="preserve">3. 文章探讨了企业内部碳资产之间的复杂交互关系，并构建了一个三维低碳技术（低碳产品）价值模型来揭示碳资产创造价值的驱动规律。</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作为一篇关于企业碳管理的论文，该文章提出了一个基于碳资产价值空间的模型和仿真分析。然而，在阅读文章时，我们发现以下几个问题：</w:t>
      </w:r>
    </w:p>
    <w:p>
      <w:pPr>
        <w:jc w:val="both"/>
      </w:pPr>
      <w:r>
        <w:rPr/>
        <w:t xml:space="preserve"/>
      </w:r>
    </w:p>
    <w:p>
      <w:pPr>
        <w:jc w:val="both"/>
      </w:pPr>
      <w:r>
        <w:rPr/>
        <w:t xml:space="preserve">1. 偏向西方视角：文章中提到了全球各行业的2138家企业签署了减排计划，但其中只有12家来自中国（包括香港），并且只有3家公开了具体的减排计划。这种表述似乎暗示中国企业在碳管理和信息披露方面存在缺陷，而西方企业则更加积极主动。然而，这种偏见可能是由于作者对中国企业的认知不足或者对西方企业的过度赞美所致。</w:t>
      </w:r>
    </w:p>
    <w:p>
      <w:pPr>
        <w:jc w:val="both"/>
      </w:pPr>
      <w:r>
        <w:rPr/>
        <w:t xml:space="preserve"/>
      </w:r>
    </w:p>
    <w:p>
      <w:pPr>
        <w:jc w:val="both"/>
      </w:pPr>
      <w:r>
        <w:rPr/>
        <w:t xml:space="preserve">2. 缺乏数据支持：文章中提到了Sempra Energy作为先锋企业在碳管理方面取得了显著成果，并引用了CDP（Carbon Disclosure Project）的报告作为证据。然而，文章并没有提供具体数据或者其他来源来支持这些说法。</w:t>
      </w:r>
    </w:p>
    <w:p>
      <w:pPr>
        <w:jc w:val="both"/>
      </w:pPr>
      <w:r>
        <w:rPr/>
        <w:t xml:space="preserve"/>
      </w:r>
    </w:p>
    <w:p>
      <w:pPr>
        <w:jc w:val="both"/>
      </w:pPr>
      <w:r>
        <w:rPr/>
        <w:t xml:space="preserve">3. 碳资产价值空间设计不够全面：文章中将碳资产价值空间分为三个维度：实际价值、可持续价值和独特价值。然而，这种分类方式可能过于简单化，并没有考虑到其他重要因素如社会责任、环境影响等。</w:t>
      </w:r>
    </w:p>
    <w:p>
      <w:pPr>
        <w:jc w:val="both"/>
      </w:pPr>
      <w:r>
        <w:rPr/>
        <w:t xml:space="preserve"/>
      </w:r>
    </w:p>
    <w:p>
      <w:pPr>
        <w:jc w:val="both"/>
      </w:pPr>
      <w:r>
        <w:rPr/>
        <w:t xml:space="preserve">4. 模型局限性：文章中建立了一个交互演化数学模型来描述碳资产的演化规律。然而，该模型可能存在一定局限性，并不能完全反映实际情况。</w:t>
      </w:r>
    </w:p>
    <w:p>
      <w:pPr>
        <w:jc w:val="both"/>
      </w:pPr>
      <w:r>
        <w:rPr/>
        <w:t xml:space="preserve"/>
      </w:r>
    </w:p>
    <w:p>
      <w:pPr>
        <w:jc w:val="both"/>
      </w:pPr>
      <w:r>
        <w:rPr/>
        <w:t xml:space="preserve">总之，尽管该论文提出了一些有意义的观点和方法，但其存在一些潜在偏见、片面报道和缺失考虑点等问题需要进一步探讨和完善。</w:t>
      </w:r>
    </w:p>
    <w:p>
      <w:pPr>
        <w:pStyle w:val="Heading1"/>
      </w:pPr>
      <w:bookmarkStart w:id="5" w:name="_Toc5"/>
      <w:r>
        <w:t>Topics for further research:</w:t>
      </w:r>
      <w:bookmarkEnd w:id="5"/>
    </w:p>
    <w:p>
      <w:pPr>
        <w:spacing w:after="0"/>
        <w:numPr>
          <w:ilvl w:val="0"/>
          <w:numId w:val="2"/>
        </w:numPr>
      </w:pPr>
      <w:r>
        <w:rPr/>
        <w:t xml:space="preserve">Chinese companies' carbon management and disclosure
</w:t>
      </w:r>
    </w:p>
    <w:p>
      <w:pPr>
        <w:spacing w:after="0"/>
        <w:numPr>
          <w:ilvl w:val="0"/>
          <w:numId w:val="2"/>
        </w:numPr>
      </w:pPr>
      <w:r>
        <w:rPr/>
        <w:t xml:space="preserve">Data supporting Sempra Energy's carbon management achievements
</w:t>
      </w:r>
    </w:p>
    <w:p>
      <w:pPr>
        <w:spacing w:after="0"/>
        <w:numPr>
          <w:ilvl w:val="0"/>
          <w:numId w:val="2"/>
        </w:numPr>
      </w:pPr>
      <w:r>
        <w:rPr/>
        <w:t xml:space="preserve">Other important factors in carbon asset value space beyond the three dimensions mentioned in the article
</w:t>
      </w:r>
    </w:p>
    <w:p>
      <w:pPr>
        <w:spacing w:after="0"/>
        <w:numPr>
          <w:ilvl w:val="0"/>
          <w:numId w:val="2"/>
        </w:numPr>
      </w:pPr>
      <w:r>
        <w:rPr/>
        <w:t xml:space="preserve">Limitations of the mathematical model used in the article
</w:t>
      </w:r>
    </w:p>
    <w:p>
      <w:pPr>
        <w:spacing w:after="0"/>
        <w:numPr>
          <w:ilvl w:val="0"/>
          <w:numId w:val="2"/>
        </w:numPr>
      </w:pPr>
      <w:r>
        <w:rPr/>
        <w:t xml:space="preserve">Potential biases and one-sided reporting in the article
</w:t>
      </w:r>
    </w:p>
    <w:p>
      <w:pPr>
        <w:numPr>
          <w:ilvl w:val="0"/>
          <w:numId w:val="2"/>
        </w:numPr>
      </w:pPr>
      <w:r>
        <w:rPr/>
        <w:t xml:space="preserve">Areas for further exploration and improvement in the topic of corporate carbon management.</w:t>
      </w:r>
    </w:p>
    <w:p>
      <w:pPr>
        <w:pStyle w:val="Heading1"/>
      </w:pPr>
      <w:bookmarkStart w:id="6" w:name="_Toc6"/>
      <w:r>
        <w:t>Report location:</w:t>
      </w:r>
      <w:bookmarkEnd w:id="6"/>
    </w:p>
    <w:p>
      <w:hyperlink r:id="rId8" w:history="1">
        <w:r>
          <w:rPr>
            <w:color w:val="2980b9"/>
            <w:u w:val="single"/>
          </w:rPr>
          <w:t xml:space="preserve">https://www.fullpicture.app/item/ae9ad2e0e522fbdf1e50e2b40b5125a9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C75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eeexplore-ieee-org-s.webvpn.zju.edu.cn:8001/document/8333941" TargetMode="External"/><Relationship Id="rId8" Type="http://schemas.openxmlformats.org/officeDocument/2006/relationships/hyperlink" Target="https://www.fullpicture.app/item/ae9ad2e0e522fbdf1e50e2b40b5125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2023-12-05T11:22:30+01:00</dcterms:created>
  <dcterms:modified xsi:type="dcterms:W3CDTF">2023-12-05T11:22:30+01:00</dcterms:modified>
</cp:coreProperties>
</file>

<file path=docProps/custom.xml><?xml version="1.0" encoding="utf-8"?>
<Properties xmlns="http://schemas.openxmlformats.org/officeDocument/2006/custom-properties" xmlns:vt="http://schemas.openxmlformats.org/officeDocument/2006/docPropsVTypes"/>
</file>