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Future of Money: Gearing up for Central Bank Digital Currency</w:t>
      </w:r>
      <w:br/>
      <w:hyperlink r:id="rId7" w:history="1">
        <w:r>
          <w:rPr>
            <w:color w:val="2980b9"/>
            <w:u w:val="single"/>
          </w:rPr>
          <w:t xml:space="preserve">https://www.imf.org/en/News/Articles/2022/02/09/sp020922-the-future-of-money-gearing-up-for-central-bank-digital-currency</w:t>
        </w:r>
      </w:hyperlink>
    </w:p>
    <w:p>
      <w:pPr>
        <w:pStyle w:val="Heading1"/>
      </w:pPr>
      <w:bookmarkStart w:id="2" w:name="_Toc2"/>
      <w:r>
        <w:t>Article summary:</w:t>
      </w:r>
      <w:bookmarkEnd w:id="2"/>
    </w:p>
    <w:p>
      <w:pPr>
        <w:jc w:val="both"/>
      </w:pPr>
      <w:r>
        <w:rPr/>
        <w:t xml:space="preserve">1. Central banks are exploring and experimenting with digital currencies (CBDCs) to potentially offer more resilience, safety, availability, and lower costs than private forms of digital money.</w:t>
      </w:r>
    </w:p>
    <w:p>
      <w:pPr>
        <w:jc w:val="both"/>
      </w:pPr>
      <w:r>
        <w:rPr/>
        <w:t xml:space="preserve">2. Around 100 countries are exploring CBDCs at one level or another, with some already distributing them to the public.</w:t>
      </w:r>
    </w:p>
    <w:p>
      <w:pPr>
        <w:jc w:val="both"/>
      </w:pPr>
      <w:r>
        <w:rPr/>
        <w:t xml:space="preserve">3. Designing CBDCs requires finding a balance between developments on the design front and on the policy front, as well as taking into account financial stability and privacy considerations.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central banks’ forays into Digital Currencies (CBDCs). It provides an overview of the current state of CBDCs around the world, noting that around 100 countries are exploring them at one level or another. The article also highlights three key lessons from these Central Banks – no one size fits all; financial stability and privacy considerations are paramount; and finding a balance between developments on the design front and on the policy front – which can be beneficial for other countries considering introducing their own CBDCs. </w:t>
      </w:r>
    </w:p>
    <w:p>
      <w:pPr>
        <w:jc w:val="both"/>
      </w:pPr>
      <w:r>
        <w:rPr/>
        <w:t xml:space="preserve">The article does not appear to have any biases or partiality in its reporting, nor does it present any unsupported claims or missing points of consideration. It is also balanced in its presentation of both sides of the issue – noting both potential benefits and risks associated with CBDCs – making it a reliable source of information on this topic.</w:t>
      </w:r>
    </w:p>
    <w:p>
      <w:pPr>
        <w:pStyle w:val="Heading1"/>
      </w:pPr>
      <w:bookmarkStart w:id="5" w:name="_Toc5"/>
      <w:r>
        <w:t>Topics for further research:</w:t>
      </w:r>
      <w:bookmarkEnd w:id="5"/>
    </w:p>
    <w:p>
      <w:pPr>
        <w:spacing w:after="0"/>
        <w:numPr>
          <w:ilvl w:val="0"/>
          <w:numId w:val="2"/>
        </w:numPr>
      </w:pPr>
      <w:r>
        <w:rPr/>
        <w:t xml:space="preserve">Central Bank Digital Currency Adoption</w:t>
      </w:r>
    </w:p>
    <w:p>
      <w:pPr>
        <w:spacing w:after="0"/>
        <w:numPr>
          <w:ilvl w:val="0"/>
          <w:numId w:val="2"/>
        </w:numPr>
      </w:pPr>
      <w:r>
        <w:rPr/>
        <w:t xml:space="preserve">Central Bank Digital Currency Regulations</w:t>
      </w:r>
    </w:p>
    <w:p>
      <w:pPr>
        <w:spacing w:after="0"/>
        <w:numPr>
          <w:ilvl w:val="0"/>
          <w:numId w:val="2"/>
        </w:numPr>
      </w:pPr>
      <w:r>
        <w:rPr/>
        <w:t xml:space="preserve">Central Bank Digital Currency Security</w:t>
      </w:r>
    </w:p>
    <w:p>
      <w:pPr>
        <w:spacing w:after="0"/>
        <w:numPr>
          <w:ilvl w:val="0"/>
          <w:numId w:val="2"/>
        </w:numPr>
      </w:pPr>
      <w:r>
        <w:rPr/>
        <w:t xml:space="preserve">Central Bank Digital Currency Privacy</w:t>
      </w:r>
    </w:p>
    <w:p>
      <w:pPr>
        <w:spacing w:after="0"/>
        <w:numPr>
          <w:ilvl w:val="0"/>
          <w:numId w:val="2"/>
        </w:numPr>
      </w:pPr>
      <w:r>
        <w:rPr/>
        <w:t xml:space="preserve">Central Bank Digital Currency Benefits</w:t>
      </w:r>
    </w:p>
    <w:p>
      <w:pPr>
        <w:numPr>
          <w:ilvl w:val="0"/>
          <w:numId w:val="2"/>
        </w:numPr>
      </w:pPr>
      <w:r>
        <w:rPr/>
        <w:t xml:space="preserve">Central Bank Digital Currency Challenges</w:t>
      </w:r>
    </w:p>
    <w:p>
      <w:pPr>
        <w:pStyle w:val="Heading1"/>
      </w:pPr>
      <w:bookmarkStart w:id="6" w:name="_Toc6"/>
      <w:r>
        <w:t>Report location:</w:t>
      </w:r>
      <w:bookmarkEnd w:id="6"/>
    </w:p>
    <w:p>
      <w:hyperlink r:id="rId8" w:history="1">
        <w:r>
          <w:rPr>
            <w:color w:val="2980b9"/>
            <w:u w:val="single"/>
          </w:rPr>
          <w:t xml:space="preserve">https://www.fullpicture.app/item/afeb26dbc93e717dbe809fd441b41495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D2E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f.org/en/News/Articles/2022/02/09/sp020922-the-future-of-money-gearing-up-for-central-bank-digital-currency" TargetMode="External"/><Relationship Id="rId8" Type="http://schemas.openxmlformats.org/officeDocument/2006/relationships/hyperlink" Target="https://www.fullpicture.app/item/afeb26dbc93e717dbe809fd441b414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2023-02-22T21:31:40+01:00</dcterms:created>
  <dcterms:modified xsi:type="dcterms:W3CDTF">2023-02-22T21:31:40+01:00</dcterms:modified>
</cp:coreProperties>
</file>

<file path=docProps/custom.xml><?xml version="1.0" encoding="utf-8"?>
<Properties xmlns="http://schemas.openxmlformats.org/officeDocument/2006/custom-properties" xmlns:vt="http://schemas.openxmlformats.org/officeDocument/2006/docPropsVTypes"/>
</file>