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URI is required to maintain intestinal architecture during ionizing radiation | Science</w:t></w:r><w:br/><w:hyperlink r:id="rId7" w:history="1"><w:r><w:rPr><w:color w:val="2980b9"/><w:u w:val="single"/></w:rPr><w:t xml:space="preserve">https://www.science.org/doi/10.1126/science.aaq1165?url_ver=Z39.88-2003&rfr_id=ori:rid:crossref.org&rfr_dat=cr_pub%20%200pubmed</w:t></w:r></w:hyperlink></w:p><w:p><w:pPr><w:pStyle w:val="Heading1"/></w:pPr><w:bookmarkStart w:id="2" w:name="_Toc2"/><w:r><w:t>Article summary:</w:t></w:r><w:bookmarkEnd w:id="2"/></w:p><w:p><w:pPr><w:jc w:val="both"/></w:pPr><w:r><w:rPr/><w:t xml:space="preserve">1. Chaves-Pérez et al. studied the mechanisms underlying gastrointestinal syndrome (GIS) caused by high-dose radiation exposure in mice.</w:t></w:r></w:p><w:p><w:pPr><w:jc w:val="both"/></w:pPr><w:r><w:rPr/><w:t xml:space="preserve">2. They found that the molecular chaperone URI (unconventional prefoldin RPB5 interactor) labels slow-cycling label-retaining (LR) cells, which are essential for organ regeneration following ionizing radiation.</w:t></w:r></w:p><w:p><w:pPr><w:jc w:val="both"/></w:pPr><w:r><w:rPr/><w:t xml:space="preserve">3. Reduced URI levels rendered LR cells highly proliferative and radiosensitive, increasing GIS severity.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overview of the research conducted by Chaves-Pérez et al., including their findings and conclusions. The article is well written and easy to understand, with clear explanations of the research methods used and the results obtained. The authors provide evidence to support their claims, such as data from mouse models and genetic analysis of URI levels in intestinal crypts after different doses of ionizing radiation. Furthermore, they discuss potential counterarguments to their findings and provide suggestions for further research into GIS prevention and treatment. </w:t></w:r></w:p><w:p><w:pPr><w:jc w:val="both"/></w:pPr><w:r><w:rPr/><w:t xml:space="preserve">However, there are some potential biases in the article that should be noted. For example, the authors do not explore any alternative explanations for their findings or consider any other possible causes of GIS besides radiation exposure. Additionally, they do not discuss any potential risks associated with manipulating URI levels or using c-MYC inhibitors as a countermeasure for humans at risk of developing radiation-induced GIS. Finally, while they present both sides of the argument fairly equally, they do not provide any evidence to support their claims about URI's role in protecting LR cells from death or promoting tissue regeneration after high-dose irradiation.</w:t></w:r></w:p><w:p><w:pPr><w:pStyle w:val="Heading1"/></w:pPr><w:bookmarkStart w:id="5" w:name="_Toc5"/><w:r><w:t>Topics for further research:</w:t></w:r><w:bookmarkEnd w:id="5"/></w:p><w:p><w:pPr><w:spacing w:after="0"/><w:numPr><w:ilvl w:val="0"/><w:numId w:val="2"/></w:numPr></w:pPr><w:r><w:rPr/><w:t xml:space="preserve">Radiation-induced gastrointestinal syndrome</w:t></w:r></w:p><w:p><w:pPr><w:spacing w:after="0"/><w:numPr><w:ilvl w:val="0"/><w:numId w:val="2"/></w:numPr></w:pPr><w:r><w:rPr/><w:t xml:space="preserve">c-MYC inhibitors for GIS prevention</w:t></w:r></w:p><w:p><w:pPr><w:spacing w:after="0"/><w:numPr><w:ilvl w:val="0"/><w:numId w:val="2"/></w:numPr></w:pPr><w:r><w:rPr/><w:t xml:space="preserve">Risks of manipulating URI levels</w:t></w:r></w:p><w:p><w:pPr><w:spacing w:after="0"/><w:numPr><w:ilvl w:val="0"/><w:numId w:val="2"/></w:numPr></w:pPr><w:r><w:rPr/><w:t xml:space="preserve">Alternative explanations for GIS</w:t></w:r></w:p><w:p><w:pPr><w:spacing w:after="0"/><w:numPr><w:ilvl w:val="0"/><w:numId w:val="2"/></w:numPr></w:pPr><w:r><w:rPr/><w:t xml:space="preserve">Role of URI in protecting LR cells</w:t></w:r></w:p><w:p><w:pPr><w:numPr><w:ilvl w:val="0"/><w:numId w:val="2"/></w:numPr></w:pPr><w:r><w:rPr/><w:t xml:space="preserve">Tissue regeneration after high-dose irradiation</w:t></w:r></w:p><w:p><w:pPr><w:pStyle w:val="Heading1"/></w:pPr><w:bookmarkStart w:id="6" w:name="_Toc6"/><w:r><w:t>Report location:</w:t></w:r><w:bookmarkEnd w:id="6"/></w:p><w:p><w:hyperlink r:id="rId8" w:history="1"><w:r><w:rPr><w:color w:val="2980b9"/><w:u w:val="single"/></w:rPr><w:t xml:space="preserve">https://www.fullpicture.app/item/b0f165c27c03e60295a3e68d3c100fec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32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q1165?url_ver=Z39.88-2003&amp;rfr_id=ori:rid:crossref.org&amp;rfr_dat=cr_pub%20%200pubmed" TargetMode="External"/><Relationship Id="rId8" Type="http://schemas.openxmlformats.org/officeDocument/2006/relationships/hyperlink" Target="https://www.fullpicture.app/item/b0f165c27c03e60295a3e68d3c100f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2023-02-22T21:45:52+01:00</dcterms:created>
  <dcterms:modified xsi:type="dcterms:W3CDTF">2023-02-22T21:45:52+01:00</dcterms:modified>
</cp:coreProperties>
</file>

<file path=docProps/custom.xml><?xml version="1.0" encoding="utf-8"?>
<Properties xmlns="http://schemas.openxmlformats.org/officeDocument/2006/custom-properties" xmlns:vt="http://schemas.openxmlformats.org/officeDocument/2006/docPropsVTypes"/>
</file>