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Illiteracy in rheumatoid arthritis patients as determined by the Rapid Estimate of Adult Literacy in Medicine (REALM) score | Rheumatology | Oxford Academic</w:t>
      </w:r>
      <w:br/>
      <w:hyperlink r:id="rId7" w:history="1">
        <w:r>
          <w:rPr>
            <w:color w:val="2980b9"/>
            <w:u w:val="single"/>
          </w:rPr>
          <w:t xml:space="preserve">https://academic.oup.com/rheumatology/article/41/7/750/1788241?login=true</w:t>
        </w:r>
      </w:hyperlink>
    </w:p>
    <w:p>
      <w:pPr>
        <w:pStyle w:val="Heading1"/>
      </w:pPr>
      <w:bookmarkStart w:id="2" w:name="_Toc2"/>
      <w:r>
        <w:t>Article summary:</w:t>
      </w:r>
      <w:bookmarkEnd w:id="2"/>
    </w:p>
    <w:p>
      <w:pPr>
        <w:jc w:val="both"/>
      </w:pPr>
      <w:r>
        <w:rPr/>
        <w:t xml:space="preserve">1. 本研究调查了风湿性关节炎（RA）患者中文盲的患病率，并分析了文盲对疾病严重程度和功能的影响。</w:t>
      </w:r>
    </w:p>
    <w:p>
      <w:pPr>
        <w:jc w:val="both"/>
      </w:pPr>
      <w:r>
        <w:rPr/>
        <w:t xml:space="preserve">2. 结果显示，在127名RA患者中，有18人（15%）是功能性文盲，即REALM得分低于60。文盲与年龄、性别、疾病持续时间和治疗次数等因素无关。</w:t>
      </w:r>
    </w:p>
    <w:p>
      <w:pPr>
        <w:jc w:val="both"/>
      </w:pPr>
      <w:r>
        <w:rPr/>
        <w:t xml:space="preserve">3. 文盲患者在焦虑方面表现更明显，但对功能评估没有影响。此外，文盲在社会贫困人群中更为普遍，并且他们在过去12个月内的医院就诊次数是同年龄和性别的RA患者的三倍。</w:t>
      </w:r>
    </w:p>
    <w:p>
      <w:pPr>
        <w:jc w:val="both"/>
      </w:pPr>
      <w:r>
        <w:rPr/>
        <w:t xml:space="preserve"/>
      </w:r>
    </w:p>
    <w:p>
      <w:pPr>
        <w:jc w:val="both"/>
      </w:pPr>
      <w:r>
        <w:rPr/>
        <w:t xml:space="preserve">总结：这项研究发现，在RA患者中存在较高比例的文盲，这些患者可能难以理解患教材料和处方标签。尽管他们的功能评估与其他患者相当，但他们需要额外的资源支持。REALM测试可以快速简便地进行，帮助鉴定需要更适合的资料的患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这篇文章主要研究了风湿性关节炎（RA）患者中文盲的患病率以及文盲对疾病严重程度和功能的影响。文章采用了Rapid Estimate of Adult Literacy in Medicine (REALM)测试来评估患者的识字能力，并通过问卷调查和病历回顾收集了患者的人口统计学数据、功能评估和抑郁情况等信息。结果显示，在127名RA患者中，有18人（15%）是文盲，其REALM得分低于60分。文盲患者比非文盲患者更容易出现焦虑情绪，并且在过去12个月内需要更多的医院就诊次数。</w:t>
      </w:r>
    </w:p>
    <w:p>
      <w:pPr>
        <w:jc w:val="both"/>
      </w:pPr>
      <w:r>
        <w:rPr/>
        <w:t xml:space="preserve"/>
      </w:r>
    </w:p>
    <w:p>
      <w:pPr>
        <w:jc w:val="both"/>
      </w:pPr>
      <w:r>
        <w:rPr/>
        <w:t xml:space="preserve">然而，这篇文章存在一些批判性问题。首先，样本容量较小，只有127名患者参与了研究，可能不具有代表性。其次，该研究只针对一个中心进行，地域范围较窄，可能无法推广到其他地区或人群。此外，在描述方法时，并未提及如何选择参与者或排除标准，这可能导致样本选择偏倚。</w:t>
      </w:r>
    </w:p>
    <w:p>
      <w:pPr>
        <w:jc w:val="both"/>
      </w:pPr>
      <w:r>
        <w:rPr/>
        <w:t xml:space="preserve"/>
      </w:r>
    </w:p>
    <w:p>
      <w:pPr>
        <w:jc w:val="both"/>
      </w:pPr>
      <w:r>
        <w:rPr/>
        <w:t xml:space="preserve">另外，在讨论部分中，并未提及其他可能影响结果的因素，如教育水平、经济状况等。这些因素可能与文盲和疾病严重程度之间存在相关性，但文章未对其进行探讨。</w:t>
      </w:r>
    </w:p>
    <w:p>
      <w:pPr>
        <w:jc w:val="both"/>
      </w:pPr>
      <w:r>
        <w:rPr/>
        <w:t xml:space="preserve"/>
      </w:r>
    </w:p>
    <w:p>
      <w:pPr>
        <w:jc w:val="both"/>
      </w:pPr>
      <w:r>
        <w:rPr/>
        <w:t xml:space="preserve">此外，文章没有提供关于REALM测试的可靠性和有效性的信息。虽然该测试被描述为快速和简单易行，但并未提及其在其他人群中的应用情况或与其他识字能力评估工具的比较。</w:t>
      </w:r>
    </w:p>
    <w:p>
      <w:pPr>
        <w:jc w:val="both"/>
      </w:pPr>
      <w:r>
        <w:rPr/>
        <w:t xml:space="preserve"/>
      </w:r>
    </w:p>
    <w:p>
      <w:pPr>
        <w:jc w:val="both"/>
      </w:pPr>
      <w:r>
        <w:rPr/>
        <w:t xml:space="preserve">最后，文章没有提供关于如何改善文盲患者医学教育和治疗管理的建议。虽然指出了这些患者需要额外的资源支持，但并未具体说明如何实施。</w:t>
      </w:r>
    </w:p>
    <w:p>
      <w:pPr>
        <w:jc w:val="both"/>
      </w:pPr>
      <w:r>
        <w:rPr/>
        <w:t xml:space="preserve"/>
      </w:r>
    </w:p>
    <w:p>
      <w:pPr>
        <w:jc w:val="both"/>
      </w:pPr>
      <w:r>
        <w:rPr/>
        <w:t xml:space="preserve">综上所述，这篇文章在研究RA患者中文盲问题方面提供了一些有限的信息，但存在一些方法学上的缺陷和未探索的问题。进一步研究仍然需要更大样本量、多中心设计，并考虑到其他潜在影响因素以及如何改善文盲患者医学教育和治疗管理的策略。</w:t>
      </w:r>
    </w:p>
    <w:p>
      <w:pPr>
        <w:pStyle w:val="Heading1"/>
      </w:pPr>
      <w:bookmarkStart w:id="5" w:name="_Toc5"/>
      <w:r>
        <w:t>Topics for further research:</w:t>
      </w:r>
      <w:bookmarkEnd w:id="5"/>
    </w:p>
    <w:p>
      <w:pPr>
        <w:spacing w:after="0"/>
        <w:numPr>
          <w:ilvl w:val="0"/>
          <w:numId w:val="2"/>
        </w:numPr>
      </w:pPr>
      <w:r>
        <w:rPr/>
        <w:t xml:space="preserve">风湿性关节炎（RA）患者中文盲的患病率
</w:t>
      </w:r>
    </w:p>
    <w:p>
      <w:pPr>
        <w:spacing w:after="0"/>
        <w:numPr>
          <w:ilvl w:val="0"/>
          <w:numId w:val="2"/>
        </w:numPr>
      </w:pPr>
      <w:r>
        <w:rPr/>
        <w:t xml:space="preserve">文盲对疾病严重程度和功能的影响
</w:t>
      </w:r>
    </w:p>
    <w:p>
      <w:pPr>
        <w:spacing w:after="0"/>
        <w:numPr>
          <w:ilvl w:val="0"/>
          <w:numId w:val="2"/>
        </w:numPr>
      </w:pPr>
      <w:r>
        <w:rPr/>
        <w:t xml:space="preserve">Rapid Estimate of Adult Literacy in Medicine (REALM)测试评估患者的识字能力
</w:t>
      </w:r>
    </w:p>
    <w:p>
      <w:pPr>
        <w:spacing w:after="0"/>
        <w:numPr>
          <w:ilvl w:val="0"/>
          <w:numId w:val="2"/>
        </w:numPr>
      </w:pPr>
      <w:r>
        <w:rPr/>
        <w:t xml:space="preserve">文盲患者的焦虑情绪和医院就诊次数
</w:t>
      </w:r>
    </w:p>
    <w:p>
      <w:pPr>
        <w:spacing w:after="0"/>
        <w:numPr>
          <w:ilvl w:val="0"/>
          <w:numId w:val="2"/>
        </w:numPr>
      </w:pPr>
      <w:r>
        <w:rPr/>
        <w:t xml:space="preserve">文盲患者的教育水平和经济状况
</w:t>
      </w:r>
    </w:p>
    <w:p>
      <w:pPr>
        <w:numPr>
          <w:ilvl w:val="0"/>
          <w:numId w:val="2"/>
        </w:numPr>
      </w:pPr>
      <w:r>
        <w:rPr/>
        <w:t xml:space="preserve">改善文盲患者医学教育和治疗管理的策略</w:t>
      </w:r>
    </w:p>
    <w:p>
      <w:pPr>
        <w:pStyle w:val="Heading1"/>
      </w:pPr>
      <w:bookmarkStart w:id="6" w:name="_Toc6"/>
      <w:r>
        <w:t>Report location:</w:t>
      </w:r>
      <w:bookmarkEnd w:id="6"/>
    </w:p>
    <w:p>
      <w:hyperlink r:id="rId8" w:history="1">
        <w:r>
          <w:rPr>
            <w:color w:val="2980b9"/>
            <w:u w:val="single"/>
          </w:rPr>
          <w:t xml:space="preserve">https://www.fullpicture.app/item/b1009ef7a4b5a2dc589488f9249d1057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3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heumatology/article/41/7/750/1788241?login=true" TargetMode="External"/><Relationship Id="rId8" Type="http://schemas.openxmlformats.org/officeDocument/2006/relationships/hyperlink" Target="https://www.fullpicture.app/item/b1009ef7a4b5a2dc589488f9249d1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2024-01-05T19:10:03+01:00</dcterms:created>
  <dcterms:modified xsi:type="dcterms:W3CDTF">2024-01-05T19:10:03+01:00</dcterms:modified>
</cp:coreProperties>
</file>

<file path=docProps/custom.xml><?xml version="1.0" encoding="utf-8"?>
<Properties xmlns="http://schemas.openxmlformats.org/officeDocument/2006/custom-properties" xmlns:vt="http://schemas.openxmlformats.org/officeDocument/2006/docPropsVTypes"/>
</file>