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Pathways From Caring and Engaging Adults to Youth Vocational Identity: The Mediational Roles of Career Search Self-Efficacy and Goal Capacity</w:t>
      </w:r>
      <w:br/>
      <w:hyperlink r:id="rId7" w:history="1">
        <w:r>
          <w:rPr>
            <w:color w:val="2980b9"/>
            <w:u w:val="single"/>
          </w:rPr>
          <w:t xml:space="preserve">https://schlr.cnki.net/en/Detail/index/GARJ2018/SJIX3ACC0D77D9AEB83492B8C3EB547953F7</w:t>
        </w:r>
      </w:hyperlink>
    </w:p>
    <w:p>
      <w:pPr>
        <w:pStyle w:val="Heading1"/>
      </w:pPr>
      <w:bookmarkStart w:id="2" w:name="_Toc2"/>
      <w:r>
        <w:t>Article summary:</w:t>
      </w:r>
      <w:bookmarkEnd w:id="2"/>
    </w:p>
    <w:p>
      <w:pPr>
        <w:jc w:val="both"/>
      </w:pPr>
      <w:r>
        <w:rPr/>
        <w:t xml:space="preserve">1. 本研究探讨了关爱和参与成年人、职业搜索自我效能和目标能力在青少年职业认同发展中的作用。</w:t>
      </w:r>
    </w:p>
    <w:p>
      <w:pPr>
        <w:jc w:val="both"/>
      </w:pPr>
      <w:r>
        <w:rPr/>
        <w:t xml:space="preserve">2. 结果表明，成年人对青少年职业认同有直接和间接影响，其中通过职业搜索自我效能和目标能力两个途径产生影响。</w:t>
      </w:r>
    </w:p>
    <w:p>
      <w:pPr>
        <w:jc w:val="both"/>
      </w:pPr>
      <w:r>
        <w:rPr/>
        <w:t xml:space="preserve">3. 研究还发现，职业搜索自我效能和目标能力共同中介了成年人对青少年职业认同的影响。这些结果为实践提供了重要启示。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作为一篇研究性文章，本文提供了有关青少年职业认同发展的重要信息。然而，在对其进行批判性分析时，我们也需要注意到其中存在的潜在偏见和局限性。</w:t>
      </w:r>
    </w:p>
    <w:p>
      <w:pPr>
        <w:jc w:val="both"/>
      </w:pPr>
      <w:r>
        <w:rPr/>
        <w:t xml:space="preserve"/>
      </w:r>
    </w:p>
    <w:p>
      <w:pPr>
        <w:jc w:val="both"/>
      </w:pPr>
      <w:r>
        <w:rPr/>
        <w:t xml:space="preserve">首先，本文的样本仅限于14所美国高中的1,579名学生，因此其结论可能不具有普遍适用性。此外，该研究采用了自我报告问卷调查方法，这种方法容易受到回忆偏差和社会期望影响。</w:t>
      </w:r>
    </w:p>
    <w:p>
      <w:pPr>
        <w:jc w:val="both"/>
      </w:pPr>
      <w:r>
        <w:rPr/>
        <w:t xml:space="preserve"/>
      </w:r>
    </w:p>
    <w:p>
      <w:pPr>
        <w:jc w:val="both"/>
      </w:pPr>
      <w:r>
        <w:rPr/>
        <w:t xml:space="preserve">其次，本文没有充分考虑其他可能影响青少年职业认同发展的因素。例如，家庭背景、社会经济地位、文化背景等都可能对个体职业选择和认同产生重要影响。</w:t>
      </w:r>
    </w:p>
    <w:p>
      <w:pPr>
        <w:jc w:val="both"/>
      </w:pPr>
      <w:r>
        <w:rPr/>
        <w:t xml:space="preserve"/>
      </w:r>
    </w:p>
    <w:p>
      <w:pPr>
        <w:jc w:val="both"/>
      </w:pPr>
      <w:r>
        <w:rPr/>
        <w:t xml:space="preserve">此外，在文章中提出的“关怀和参与成年人”、“职业搜索自我效能”和“目标能力”之间的关系并没有得到充分解释。这些概念是如何定义和测量的？它们之间的因果关系是如何建立起来的？</w:t>
      </w:r>
    </w:p>
    <w:p>
      <w:pPr>
        <w:jc w:val="both"/>
      </w:pPr>
      <w:r>
        <w:rPr/>
        <w:t xml:space="preserve"/>
      </w:r>
    </w:p>
    <w:p>
      <w:pPr>
        <w:jc w:val="both"/>
      </w:pPr>
      <w:r>
        <w:rPr/>
        <w:t xml:space="preserve">最后，在文章中提出的结论似乎过于简单化，并未考虑到其他可能解释结果的因素。例如，是否存在其他变量可以解释CSSE和目标能力与职业认同之间的关系？是否存在反向因果关系或共同决定因素？</w:t>
      </w:r>
    </w:p>
    <w:p>
      <w:pPr>
        <w:jc w:val="both"/>
      </w:pPr>
      <w:r>
        <w:rPr/>
        <w:t xml:space="preserve"/>
      </w:r>
    </w:p>
    <w:p>
      <w:pPr>
        <w:jc w:val="both"/>
      </w:pPr>
      <w:r>
        <w:rPr/>
        <w:t xml:space="preserve">综上所述，尽管本文提供了有价值的信息，但我们需要谨慎对待其中所提出的结论，并将其视为一个初步探索而非最终答案。</w:t>
      </w:r>
    </w:p>
    <w:p>
      <w:pPr>
        <w:pStyle w:val="Heading1"/>
      </w:pPr>
      <w:bookmarkStart w:id="5" w:name="_Toc5"/>
      <w:r>
        <w:t>Topics for further research:</w:t>
      </w:r>
      <w:bookmarkEnd w:id="5"/>
    </w:p>
    <w:p>
      <w:pPr>
        <w:spacing w:after="0"/>
        <w:numPr>
          <w:ilvl w:val="0"/>
          <w:numId w:val="2"/>
        </w:numPr>
      </w:pPr>
      <w:r>
        <w:rPr/>
        <w:t xml:space="preserve">Limitations of sample size and generalizability
</w:t>
      </w:r>
    </w:p>
    <w:p>
      <w:pPr>
        <w:spacing w:after="0"/>
        <w:numPr>
          <w:ilvl w:val="0"/>
          <w:numId w:val="2"/>
        </w:numPr>
      </w:pPr>
      <w:r>
        <w:rPr/>
        <w:t xml:space="preserve">Potential biases and limitations of self-report survey method
</w:t>
      </w:r>
    </w:p>
    <w:p>
      <w:pPr>
        <w:spacing w:after="0"/>
        <w:numPr>
          <w:ilvl w:val="0"/>
          <w:numId w:val="2"/>
        </w:numPr>
      </w:pPr>
      <w:r>
        <w:rPr/>
        <w:t xml:space="preserve">Importance of considering other factors that may influence career identity development
</w:t>
      </w:r>
    </w:p>
    <w:p>
      <w:pPr>
        <w:spacing w:after="0"/>
        <w:numPr>
          <w:ilvl w:val="0"/>
          <w:numId w:val="2"/>
        </w:numPr>
      </w:pPr>
      <w:r>
        <w:rPr/>
        <w:t xml:space="preserve">Lack of explanation for the relationship between caring adults</w:t>
      </w:r>
    </w:p>
    <w:p>
      <w:pPr>
        <w:spacing w:after="0"/>
        <w:numPr>
          <w:ilvl w:val="0"/>
          <w:numId w:val="2"/>
        </w:numPr>
      </w:pPr>
      <w:r>
        <w:rPr/>
        <w:t xml:space="preserve">career search self-efficacy</w:t>
      </w:r>
    </w:p>
    <w:p>
      <w:pPr>
        <w:spacing w:after="0"/>
        <w:numPr>
          <w:ilvl w:val="0"/>
          <w:numId w:val="2"/>
        </w:numPr>
      </w:pPr>
      <w:r>
        <w:rPr/>
        <w:t xml:space="preserve">and goal orientation
</w:t>
      </w:r>
    </w:p>
    <w:p>
      <w:pPr>
        <w:spacing w:after="0"/>
        <w:numPr>
          <w:ilvl w:val="0"/>
          <w:numId w:val="2"/>
        </w:numPr>
      </w:pPr>
      <w:r>
        <w:rPr/>
        <w:t xml:space="preserve">Simplification of conclusions without considering other possible explanatory factors
</w:t>
      </w:r>
    </w:p>
    <w:p>
      <w:pPr>
        <w:numPr>
          <w:ilvl w:val="0"/>
          <w:numId w:val="2"/>
        </w:numPr>
      </w:pPr>
      <w:r>
        <w:rPr/>
        <w:t xml:space="preserve">Need for caution in interpreting findings as a preliminary exploration rather than a final answer.</w:t>
      </w:r>
    </w:p>
    <w:p>
      <w:pPr>
        <w:pStyle w:val="Heading1"/>
      </w:pPr>
      <w:bookmarkStart w:id="6" w:name="_Toc6"/>
      <w:r>
        <w:t>Report location:</w:t>
      </w:r>
      <w:bookmarkEnd w:id="6"/>
    </w:p>
    <w:p>
      <w:hyperlink r:id="rId8" w:history="1">
        <w:r>
          <w:rPr>
            <w:color w:val="2980b9"/>
            <w:u w:val="single"/>
          </w:rPr>
          <w:t xml:space="preserve">https://www.fullpicture.app/item/b14bc2fccd8ceba74d968e9beab3081d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7B4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18/SJIX3ACC0D77D9AEB83492B8C3EB547953F7" TargetMode="External"/><Relationship Id="rId8" Type="http://schemas.openxmlformats.org/officeDocument/2006/relationships/hyperlink" Target="https://www.fullpicture.app/item/b14bc2fccd8ceba74d968e9beab308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2024-01-04T23:36:19+01:00</dcterms:created>
  <dcterms:modified xsi:type="dcterms:W3CDTF">2024-01-04T23:36:19+01:00</dcterms:modified>
</cp:coreProperties>
</file>

<file path=docProps/custom.xml><?xml version="1.0" encoding="utf-8"?>
<Properties xmlns="http://schemas.openxmlformats.org/officeDocument/2006/custom-properties" xmlns:vt="http://schemas.openxmlformats.org/officeDocument/2006/docPropsVTypes"/>
</file>