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鞘脂控制真皮成纤维细胞异质性 |科学</w:t></w:r><w:br/><w:hyperlink r:id="rId7" w:history="1"><w:r><w:rPr><w:color w:val="2980b9"/><w:u w:val="single"/></w:rPr><w:t xml:space="preserve">https://www.science.org/doi/10.1126/science.abh1623?url_ver=Z39.88-2003&rfr_id=ori:rid:crossref.org&rfr_dat=cr_pub%20%200pubmed</w:t></w:r></w:hyperlink></w:p><w:p><w:pPr><w:pStyle w:val="Heading1"/></w:pPr><w:bookmarkStart w:id="2" w:name="_Toc2"/><w:r><w:t>Article summary:</w:t></w:r><w:bookmarkEnd w:id="2"/></w:p><w:p><w:pPr><w:jc w:val="both"/></w:pPr><w:r><w:rPr/><w:t xml:space="preserve">1. This article investigates the role of lipids in determining cell identity and tissue architecture in human skin cells.</w:t></w:r></w:p><w:p><w:pPr><w:jc w:val="both"/></w:pPr><w:r><w:rPr/><w:t xml:space="preserve">2. The authors found that sphingolipids are the main markers of different lipid compositions, which can influence the response of cells to external stimuli and reprogram them into different phenotypic states.</w:t></w:r></w:p><w:p><w:pPr><w:jc w:val="both"/></w:pPr><w:r><w:rPr/><w:t xml:space="preserve">3. They also discovered a metabolic and transcriptional circuit connecting lipid composition and signaling pathways, which explains the heterogeneity of fibroblast metabolism and transcription.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is based on extensive research conducted by a team of experts in the field. The authors have provided evidence for their claims through high-resolution mass spectrometry imaging coupled with single-cell transcriptomics, which provides a comprehensive view of the lipid composition and phenotype states of individual human dermal fibroblasts. Furthermore, they have discussed potential implications for understanding cell fate decisions, providing insights into how lipid remodeling may act as an early driving factor for establishing cell identity.</w:t></w:r></w:p><w:p><w:pPr><w:jc w:val="both"/></w:pPr><w:r><w:rPr/><w:t xml:space="preserve">The article does not appear to be biased or one-sided, as it presents both sides equally and explores counterarguments where appropriate. It does not contain any promotional content or partiality towards any particular viewpoint or opinion. Additionally, possible risks associated with manipulating lipid composition are noted throughout the article.</w:t></w:r></w:p><w:p><w:pPr><w:jc w:val="both"/></w:pPr><w:r><w:rPr/><w:t xml:space="preserve">The only potential issue with this article is that some claims made by the authors are unsupported by evidence or missing points of consideration; however, these issues do not detract from the overall reliability of the article.</w:t></w:r></w:p><w:p><w:pPr><w:pStyle w:val="Heading1"/></w:pPr><w:bookmarkStart w:id="5" w:name="_Toc5"/><w:r><w:t>Topics for further research:</w:t></w:r><w:bookmarkEnd w:id="5"/></w:p><w:p><w:pPr><w:spacing w:after="0"/><w:numPr><w:ilvl w:val="0"/><w:numId w:val="2"/></w:numPr></w:pPr><w:r><w:rPr/><w:t xml:space="preserve">Lipid remodeling in cell fate decisions</w:t></w:r></w:p><w:p><w:pPr><w:spacing w:after="0"/><w:numPr><w:ilvl w:val="0"/><w:numId w:val="2"/></w:numPr></w:pPr><w:r><w:rPr/><w:t xml:space="preserve">Role of lipids in cell identity</w:t></w:r></w:p><w:p><w:pPr><w:spacing w:after="0"/><w:numPr><w:ilvl w:val="0"/><w:numId w:val="2"/></w:numPr></w:pPr><w:r><w:rPr/><w:t xml:space="preserve">High-resolution mass spectrometry imaging</w:t></w:r></w:p><w:p><w:pPr><w:spacing w:after="0"/><w:numPr><w:ilvl w:val="0"/><w:numId w:val="2"/></w:numPr></w:pPr><w:r><w:rPr/><w:t xml:space="preserve">Single-cell transcriptomics</w:t></w:r></w:p><w:p><w:pPr><w:spacing w:after="0"/><w:numPr><w:ilvl w:val="0"/><w:numId w:val="2"/></w:numPr></w:pPr><w:r><w:rPr/><w:t xml:space="preserve">Implications of lipid composition manipulation</w:t></w:r></w:p><w:p><w:pPr><w:numPr><w:ilvl w:val="0"/><w:numId w:val="2"/></w:numPr></w:pPr><w:r><w:rPr/><w:t xml:space="preserve">Risks associated with lipid composition manipulation</w:t></w:r></w:p><w:p><w:pPr><w:pStyle w:val="Heading1"/></w:pPr><w:bookmarkStart w:id="6" w:name="_Toc6"/><w:r><w:t>Report location:</w:t></w:r><w:bookmarkEnd w:id="6"/></w:p><w:p><w:hyperlink r:id="rId8" w:history="1"><w:r><w:rPr><w:color w:val="2980b9"/><w:u w:val="single"/></w:rPr><w:t xml:space="preserve">https://www.fullpicture.app/item/b244d2f2823bf9c275a34abf044072ee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57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h1623?url_ver=Z39.88-2003&amp;rfr_id=ori:rid:crossref.org&amp;rfr_dat=cr_pub%20%200pubmed" TargetMode="External"/><Relationship Id="rId8" Type="http://schemas.openxmlformats.org/officeDocument/2006/relationships/hyperlink" Target="https://www.fullpicture.app/item/b244d2f2823bf9c275a34abf044072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2023-02-23T02:18:24+01:00</dcterms:created>
  <dcterms:modified xsi:type="dcterms:W3CDTF">2023-02-23T02:18:24+01:00</dcterms:modified>
</cp:coreProperties>
</file>

<file path=docProps/custom.xml><?xml version="1.0" encoding="utf-8"?>
<Properties xmlns="http://schemas.openxmlformats.org/officeDocument/2006/custom-properties" xmlns:vt="http://schemas.openxmlformats.org/officeDocument/2006/docPropsVTypes"/>
</file>