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role of ESG scoring and greenwashing risk in explaining the yields of green bonds: A conceptual framework and an econometric analysis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https://www.sciencedirect.com/science/article/pii/S1044028322000138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Sustainable finance, including green bonds and ESG investments, is becoming increasingly popular as the world aims to address climate change and clean energy issues while recovering from the COVID-19 pandemic.</w:t>
      </w:r>
    </w:p>
    <w:p>
      <w:pPr>
        <w:jc w:val="both"/>
      </w:pPr>
      <w:r>
        <w:rPr/>
        <w:t xml:space="preserve">2. Green bonds have grown rapidly in international markets and can significantly contribute to financing sustainable infrastructure projects, but their risk/return profiles are still under-investigated.</w:t>
      </w:r>
    </w:p>
    <w:p>
      <w:pPr>
        <w:jc w:val="both"/>
      </w:pPr>
      <w:r>
        <w:rPr/>
        <w:t xml:space="preserve">3. ESG scoring and certification play a crucial role in measuring the sustainability impact of green bond issuances, reducing information asymmetries between issuers and investors, and enhancing corporate value creation.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该文章提出了绿色债券在可持续金融中的重要性，并探讨了ESG评分和绿色洗白风险在解释绿色债券收益方面的作用。然而，该文章存在以下问题：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偏袒可持续金融：文章过于强调可持续金融的重要性，但未充分探讨其潜在风险和负面影响。例如，一些人认为可持续金融可能导致资本外流、不平等和社会排斥。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片面报道：文章只关注了绿色债券市场的增长和发展，但未考虑其他类型的债券或投资工具对可持续发展的贡献。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缺失考虑点：文章没有涉及到其他因素对绿色债券收益的影响，如市场波动、利率变化等。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主张缺失证据：文章提出了ESG评分和绿色洗白风险对绿色债券收益的影响，但未提供足够的证据来支持这些主张。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未探索反驳：文章没有探讨可能存在的反驳观点或争议，并且似乎默认所有人都同意可持续金融是正确的选择。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宣传内容：文章似乎旨在宣传可持续金融和绿色债券市场，并未提供客观、平衡的报道。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忽略风险：尽管文章提到了“欺骗性绿色洗白”的概念，但并未深入探讨这种风险可能带来的后果或如何避免它们。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总之，该文章存在偏见、片面报道、缺失考虑点和证据不足等问题。读者应该保持批判思维并寻找更全面、客观、平衡的信息来源。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sustainable finance
</w:t>
      </w:r>
    </w:p>
    <w:p>
      <w:pPr>
        <w:spacing w:after="0"/>
        <w:numPr>
          <w:ilvl w:val="0"/>
          <w:numId w:val="2"/>
        </w:numPr>
      </w:pPr>
      <w:r>
        <w:rPr/>
        <w:t xml:space="preserve">Contribution of other types of bonds or investment tools to sustainable development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green bond returns</w:t>
      </w:r>
    </w:p>
    <w:p>
      <w:pPr>
        <w:spacing w:after="0"/>
        <w:numPr>
          <w:ilvl w:val="0"/>
          <w:numId w:val="2"/>
        </w:numPr>
      </w:pPr>
      <w:r>
        <w:rPr/>
        <w:t xml:space="preserve">such as market volatility and interest rate changes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impact of ESG ratings and greenwashing risks on green bond returns
</w:t>
      </w:r>
    </w:p>
    <w:p>
      <w:pPr>
        <w:spacing w:after="0"/>
        <w:numPr>
          <w:ilvl w:val="0"/>
          <w:numId w:val="2"/>
        </w:numPr>
      </w:pPr>
      <w:r>
        <w:rPr/>
        <w:t xml:space="preserve">Possible opposing viewpoints or controversies regarding sustainable finance
</w:t>
      </w:r>
    </w:p>
    <w:p>
      <w:pPr>
        <w:numPr>
          <w:ilvl w:val="0"/>
          <w:numId w:val="2"/>
        </w:numPr>
      </w:pPr>
      <w:r>
        <w:rPr/>
        <w:t xml:space="preserve">Balanced and objective reporting on sustainable finance and green bond markets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https://www.fullpicture.app/item/b50c103b0efc9bdf284d2851d1f38ef2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6F96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044028322000138" TargetMode="External"/><Relationship Id="rId8" Type="http://schemas.openxmlformats.org/officeDocument/2006/relationships/hyperlink" Target="https://www.fullpicture.app/item/b50c103b0efc9bdf284d2851d1f38e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2024-01-04T11:22:13+01:00</dcterms:created>
  <dcterms:modified xsi:type="dcterms:W3CDTF">2024-01-04T11:22:13+01:00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