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Immune cell regulation by autocrine purinergic signalling - PMC</w:t>
      </w:r>
      <w:br/>
      <w:hyperlink r:id="rId7" w:history="1">
        <w:r>
          <w:rPr>
            <w:color w:val="2980b9"/>
            <w:u w:val="single"/>
          </w:rPr>
          <w:t xml:space="preserve">https://www.ncbi.nlm.nih.gov/pmc/articles/PMC4209705/</w:t>
        </w:r>
      </w:hyperlink>
    </w:p>
    <w:p>
      <w:pPr>
        <w:pStyle w:val="Heading1"/>
      </w:pPr>
      <w:bookmarkStart w:id="2" w:name="_Toc2"/>
      <w:r>
        <w:t>Article summary:</w:t>
      </w:r>
      <w:bookmarkEnd w:id="2"/>
    </w:p>
    <w:p>
      <w:pPr>
        <w:jc w:val="both"/>
      </w:pPr>
      <w:r>
        <w:rPr/>
        <w:t xml:space="preserve">1. Autocrine purinergic signalling regulates immune cell activation: The article discusses how autocrine purinergic signalling, which involves the release of cellular ATP and feedback through purinergic receptors, plays a crucial role in regulating immune cell activation. This signalling system allows immune cells to adjust their functional responses based on extracellular cues from their environment.</w:t>
      </w:r>
    </w:p>
    <w:p>
      <w:pPr>
        <w:jc w:val="both"/>
      </w:pPr>
      <w:r>
        <w:rPr/>
        <w:t xml:space="preserve"/>
      </w:r>
    </w:p>
    <w:p>
      <w:pPr>
        <w:jc w:val="both"/>
      </w:pPr>
      <w:r>
        <w:rPr/>
        <w:t xml:space="preserve">2. Purinergic receptors and ectonucleotidases: The article highlights the different types of purinergic receptors (P2Y, P2X, and P1) that recognize extracellular ATP and adenosine, as well as the families of ectonucleotidases that hydrolyze ATP to ADP, AMP, and adenosine. These receptors and enzymes are expressed on the cell surface of various mammalian cell types and regulate cell activation through specific purinergic signalling systems.</w:t>
      </w:r>
    </w:p>
    <w:p>
      <w:pPr>
        <w:jc w:val="both"/>
      </w:pPr>
      <w:r>
        <w:rPr/>
        <w:t xml:space="preserve"/>
      </w:r>
    </w:p>
    <w:p>
      <w:pPr>
        <w:jc w:val="both"/>
      </w:pPr>
      <w:r>
        <w:rPr/>
        <w:t xml:space="preserve">3. Role in immune response regulation: In addition to regulating healthy immune cells, purinergic signalling systems also play a role in recognizing danger signals from damaged or stressed host cells. This recognition helps guide phagocytes to inflammatory sites and promotes clearance of damaged or apoptotic cells. Purinergic signalling is also critical for inflammasome activation and cytokine release in response to damage-associated molecular patterns (DAMPs) and pathogen-associated molecular patterns (PAMPs).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偏见来源：文章没有提及作者的背景或利益冲突，这可能导致读者对作者的立场和动机产生怀疑。如果作者有与该主题相关的商业或政治利益，他们可能会倾向于支持某种观点。</w:t>
      </w:r>
    </w:p>
    <w:p>
      <w:pPr>
        <w:jc w:val="both"/>
      </w:pPr>
      <w:r>
        <w:rPr/>
        <w:t xml:space="preserve"/>
      </w:r>
    </w:p>
    <w:p>
      <w:pPr>
        <w:jc w:val="both"/>
      </w:pPr>
      <w:r>
        <w:rPr/>
        <w:t xml:space="preserve">2. 片面报道：文章只关注了自体嘌呤信号系统在免疫细胞激活中的作用，而忽略了其他可能影响免疫细胞功能的因素。这种片面报道可能导致读者对整个问题的理解不完整。</w:t>
      </w:r>
    </w:p>
    <w:p>
      <w:pPr>
        <w:jc w:val="both"/>
      </w:pPr>
      <w:r>
        <w:rPr/>
        <w:t xml:space="preserve"/>
      </w:r>
    </w:p>
    <w:p>
      <w:pPr>
        <w:jc w:val="both"/>
      </w:pPr>
      <w:r>
        <w:rPr/>
        <w:t xml:space="preserve">3. 无根据的主张：文章声称自体嘌呤信号系统可以通过调节细胞活化来调整功能反应，但没有提供足够的证据来支持这一主张。缺乏实验证据可能使读者对该主张产生怀疑。</w:t>
      </w:r>
    </w:p>
    <w:p>
      <w:pPr>
        <w:jc w:val="both"/>
      </w:pPr>
      <w:r>
        <w:rPr/>
        <w:t xml:space="preserve"/>
      </w:r>
    </w:p>
    <w:p>
      <w:pPr>
        <w:jc w:val="both"/>
      </w:pPr>
      <w:r>
        <w:rPr/>
        <w:t xml:space="preserve">4. 缺失的考虑点：文章没有讨论自体嘌呤信号系统可能存在的风险或负面影响。例如，过度激活该信号系统是否会导致免疫细胞功能紊乱或自身免疫性疾病？缺乏对潜在风险的讨论可能导致读者对该主题的全面性产生疑问。</w:t>
      </w:r>
    </w:p>
    <w:p>
      <w:pPr>
        <w:jc w:val="both"/>
      </w:pPr>
      <w:r>
        <w:rPr/>
        <w:t xml:space="preserve"/>
      </w:r>
    </w:p>
    <w:p>
      <w:pPr>
        <w:jc w:val="both"/>
      </w:pPr>
      <w:r>
        <w:rPr/>
        <w:t xml:space="preserve">5. 所提出主张的缺失证据：文章声称自体嘌呤信号系统在免疫细胞激活中起到重要作用，但没有提供足够的实验证据来支持这一主张。缺乏实验证据可能使读者对该主张的可靠性产生怀疑。</w:t>
      </w:r>
    </w:p>
    <w:p>
      <w:pPr>
        <w:jc w:val="both"/>
      </w:pPr>
      <w:r>
        <w:rPr/>
        <w:t xml:space="preserve"/>
      </w:r>
    </w:p>
    <w:p>
      <w:pPr>
        <w:jc w:val="both"/>
      </w:pPr>
      <w:r>
        <w:rPr/>
        <w:t xml:space="preserve">6. 未探索的反驳：文章没有探讨可能与自体嘌呤信号系统相矛盾或有争议的观点。例如，是否有其他机制或因素也可以调节免疫细胞功能？这种未探索的反驳可能导致读者对该主题的全面性产生疑问。</w:t>
      </w:r>
    </w:p>
    <w:p>
      <w:pPr>
        <w:jc w:val="both"/>
      </w:pPr>
      <w:r>
        <w:rPr/>
        <w:t xml:space="preserve"/>
      </w:r>
    </w:p>
    <w:p>
      <w:pPr>
        <w:jc w:val="both"/>
      </w:pPr>
      <w:r>
        <w:rPr/>
        <w:t xml:space="preserve">7. 宣传内容：文章似乎过于强调自体嘌呤信号系统在免疫细胞中的重要性，而忽略了其他可能同样重要的调节机制。这种宣传内容可能会使读者对作者的立场和动机产生怀疑。</w:t>
      </w:r>
    </w:p>
    <w:p>
      <w:pPr>
        <w:jc w:val="both"/>
      </w:pPr>
      <w:r>
        <w:rPr/>
        <w:t xml:space="preserve"/>
      </w:r>
    </w:p>
    <w:p>
      <w:pPr>
        <w:jc w:val="both"/>
      </w:pPr>
      <w:r>
        <w:rPr/>
        <w:t xml:space="preserve">总之，上述文章存在一些潜在偏见和问题，包括片面报道、无根据的主张、缺失考虑点、所提出主张缺乏证据、未探索反驳等。读者应保持批判思维，对文章中的观点进行进一步的研究和验证。</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其他影响免疫细胞功能的因素
</w:t>
      </w:r>
    </w:p>
    <w:p>
      <w:pPr>
        <w:spacing w:after="0"/>
        <w:numPr>
          <w:ilvl w:val="0"/>
          <w:numId w:val="2"/>
        </w:numPr>
      </w:pPr>
      <w:r>
        <w:rPr/>
        <w:t xml:space="preserve">自体嘌呤信号系统调节细胞活化的证据
</w:t>
      </w:r>
    </w:p>
    <w:p>
      <w:pPr>
        <w:spacing w:after="0"/>
        <w:numPr>
          <w:ilvl w:val="0"/>
          <w:numId w:val="2"/>
        </w:numPr>
      </w:pPr>
      <w:r>
        <w:rPr/>
        <w:t xml:space="preserve">自体嘌呤信号系统的风险和负面影响
</w:t>
      </w:r>
    </w:p>
    <w:p>
      <w:pPr>
        <w:spacing w:after="0"/>
        <w:numPr>
          <w:ilvl w:val="0"/>
          <w:numId w:val="2"/>
        </w:numPr>
      </w:pPr>
      <w:r>
        <w:rPr/>
        <w:t xml:space="preserve">自体嘌呤信号系统在免疫细胞激活中的实验证据
</w:t>
      </w:r>
    </w:p>
    <w:p>
      <w:pPr>
        <w:numPr>
          <w:ilvl w:val="0"/>
          <w:numId w:val="2"/>
        </w:numPr>
      </w:pPr>
      <w:r>
        <w:rPr/>
        <w:t xml:space="preserve">其他可能调节免疫细胞功能的机制或因素</w:t>
      </w:r>
    </w:p>
    <w:p>
      <w:pPr>
        <w:pStyle w:val="Heading1"/>
      </w:pPr>
      <w:bookmarkStart w:id="6" w:name="_Toc6"/>
      <w:r>
        <w:t>Report location:</w:t>
      </w:r>
      <w:bookmarkEnd w:id="6"/>
    </w:p>
    <w:p>
      <w:hyperlink r:id="rId8" w:history="1">
        <w:r>
          <w:rPr>
            <w:color w:val="2980b9"/>
            <w:u w:val="single"/>
          </w:rPr>
          <w:t xml:space="preserve">https://www.fullpicture.app/item/b529149025c5237fe86c346828882583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033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209705/" TargetMode="External"/><Relationship Id="rId8" Type="http://schemas.openxmlformats.org/officeDocument/2006/relationships/hyperlink" Target="https://www.fullpicture.app/item/b529149025c5237fe86c3468288825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2024-07-24T00:09:30+02:00</dcterms:created>
  <dcterms:modified xsi:type="dcterms:W3CDTF">2024-07-24T00:09:30+02:00</dcterms:modified>
</cp:coreProperties>
</file>

<file path=docProps/custom.xml><?xml version="1.0" encoding="utf-8"?>
<Properties xmlns="http://schemas.openxmlformats.org/officeDocument/2006/custom-properties" xmlns:vt="http://schemas.openxmlformats.org/officeDocument/2006/docPropsVTypes"/>
</file>