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Mutual fund performance at long horizons - ScienceDirect</w:t>
      </w:r>
      <w:br/>
      <w:hyperlink r:id="rId7" w:history="1">
        <w:r>
          <w:rPr>
            <w:color w:val="2980b9"/>
            <w:u w:val="single"/>
          </w:rPr>
          <w:t xml:space="preserve">https://vpn.jlu.edu.cn/https/44696469646131313237446964696461bd6feb2610cba212c258e268de7790f17702c29fe5/science/article/pii/S0304405X22002264?via%3Dihub=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majority of research on mutual fund performance focuses on short-term returns, but investors are often concerned with compound returns over longer horizons.</w:t>
      </w:r>
    </w:p>
    <w:p>
      <w:pPr>
        <w:jc w:val="both"/>
      </w:pPr>
      <w:r>
        <w:rPr/>
        <w:t xml:space="preserve">2. Compound long-horizon returns contain important information that is not apparent in the distribution of short-horizon returns.</w:t>
      </w:r>
    </w:p>
    <w:p>
      <w:pPr>
        <w:jc w:val="both"/>
      </w:pPr>
      <w:r>
        <w:rPr/>
        <w:t xml:space="preserve">3. The percentage of mutual funds that outperform market benchmarks decreases as the horizon over which returns are measured increases, and the cross-sectional distribution of long-horizon fund buy-and-hold returns is strongly positively skewed.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这篇文章主要探讨了长期视角下的共同基金绩效，并提出了一些观点和发现。然而，文章存在一些潜在的偏见和问题。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首先，文章没有明确提到研究方法和数据来源，这使得读者很难评估研究的可靠性和适用性。没有提供足够的背景信息来支持作者的主张。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其次，文章只关注了美国股票型共同基金，并未考虑其他类型的基金或其他国家市场的情况。这种局限性可能导致结论不具有普遍适用性。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此外，文章没有充分考虑风险因素对基金绩效的影响。长期绩效可能受到市场波动、经济周期和其他不确定因素的影响。没有对这些风险进行充分讨论，使得结论缺乏全面性。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另外，文章强调了正偏斜分布对投资者决策的重要性，但并未提供足够的证据来支持这一观点。是否有其他因素导致正偏斜分布？是否有其他解释可以解释为什么长期绩效呈现正偏斜？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最后，文章没有平等地呈现双方观点。它主要关注了共同基金的绩效问题，但没有提及可能存在的其他因素或策略，如 passively managed funds 或 ETFs。这种片面报道可能导致读者对整个行业的误解。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总之，这篇文章在探讨长期共同基金绩效方面提供了一些见解，但存在一些潜在的偏见和不足之处。读者需要谨慎对待其中的结论，并考虑其他因素和观点来获得更全面和客观的认识。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研究方法和数据来源
</w:t>
      </w:r>
    </w:p>
    <w:p>
      <w:pPr>
        <w:spacing w:after="0"/>
        <w:numPr>
          <w:ilvl w:val="0"/>
          <w:numId w:val="2"/>
        </w:numPr>
      </w:pPr>
      <w:r>
        <w:rPr/>
        <w:t xml:space="preserve">其他类型的基金或其他国家市场的情况
</w:t>
      </w:r>
    </w:p>
    <w:p>
      <w:pPr>
        <w:spacing w:after="0"/>
        <w:numPr>
          <w:ilvl w:val="0"/>
          <w:numId w:val="2"/>
        </w:numPr>
      </w:pPr>
      <w:r>
        <w:rPr/>
        <w:t xml:space="preserve">风险因素对基金绩效的影响
</w:t>
      </w:r>
    </w:p>
    <w:p>
      <w:pPr>
        <w:spacing w:after="0"/>
        <w:numPr>
          <w:ilvl w:val="0"/>
          <w:numId w:val="2"/>
        </w:numPr>
      </w:pPr>
      <w:r>
        <w:rPr/>
        <w:t xml:space="preserve">正偏斜分布的原因和解释
</w:t>
      </w:r>
    </w:p>
    <w:p>
      <w:pPr>
        <w:spacing w:after="0"/>
        <w:numPr>
          <w:ilvl w:val="0"/>
          <w:numId w:val="2"/>
        </w:numPr>
      </w:pPr>
      <w:r>
        <w:rPr/>
        <w:t xml:space="preserve">其他因素或策略如 passively managed funds 或 ETFs
</w:t>
      </w:r>
    </w:p>
    <w:p>
      <w:pPr>
        <w:numPr>
          <w:ilvl w:val="0"/>
          <w:numId w:val="2"/>
        </w:numPr>
      </w:pPr>
      <w:r>
        <w:rPr/>
        <w:t xml:space="preserve">文章的平衡性和客观性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https://www.fullpicture.app/item/b550e9bb7f58984ba24d0dcee949b426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F089B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pn.jlu.edu.cn/https/44696469646131313237446964696461bd6feb2610cba212c258e268de7790f17702c29fe5/science/article/pii/S0304405X22002264?via%3Dihub=" TargetMode="External"/><Relationship Id="rId8" Type="http://schemas.openxmlformats.org/officeDocument/2006/relationships/hyperlink" Target="https://www.fullpicture.app/item/b550e9bb7f58984ba24d0dcee949b426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2024-01-11T22:30:38+01:00</dcterms:created>
  <dcterms:modified xsi:type="dcterms:W3CDTF">2024-01-11T22:30:38+01:00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