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use and ethnolinguistic vitality of Turkish compared with the Dutch in the Netherlands.pdf</w:t>
      </w:r>
      <w:br/>
      <w:hyperlink r:id="rId7" w:history="1">
        <w:r>
          <w:rPr>
            <w:color w:val="2980b9"/>
            <w:u w:val="single"/>
          </w:rPr>
          <w:t xml:space="preserve">https://typeset.io/library/zhu-guan-yu-yan-huo-li-can-kao-wen-xian-3-2lu0i5xd/language-use-and-ethnolinguistic-vitality-of-turkish-2b1fydnl</w:t>
        </w:r>
      </w:hyperlink>
    </w:p>
    <w:p>
      <w:pPr>
        <w:pStyle w:val="Heading1"/>
      </w:pPr>
      <w:bookmarkStart w:id="2" w:name="_Toc2"/>
      <w:r>
        <w:t>Article summary:</w:t>
      </w:r>
      <w:bookmarkEnd w:id="2"/>
    </w:p>
    <w:p>
      <w:pPr>
        <w:jc w:val="both"/>
      </w:pPr>
      <w:r>
        <w:rPr/>
        <w:t xml:space="preserve">1. 本文探讨土耳其语和荷兰语在荷兰的使用和民族语言活力之间的关系。</w:t>
      </w:r>
    </w:p>
    <w:p>
      <w:pPr>
        <w:jc w:val="both"/>
      </w:pPr>
      <w:r>
        <w:rPr/>
        <w:t xml:space="preserve">2. 研究发现，教育对于土耳其移民的语言维持和转变起到了重要作用。土耳其移民在主流机构中的民族语言活力较低，但他们通过建立自己的机构支持结构来部分弥补这一缺陷，从而实现更高的语言维持率。</w:t>
      </w:r>
    </w:p>
    <w:p>
      <w:pPr>
        <w:jc w:val="both"/>
      </w:pPr>
      <w:r>
        <w:rPr/>
        <w:t xml:space="preserve">3. 民族语言活力理论可以帮助解释少数族裔群体中的语言维持和转变，并且国家政策也会影响少数族裔群体中观念和行为模式。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该文章探讨了土耳其语和荷兰语在荷兰的使用和民族语言活力之间的关系。然而，该文章存在一些潜在的偏见和局限性。</w:t>
      </w:r>
    </w:p>
    <w:p>
      <w:pPr>
        <w:jc w:val="both"/>
      </w:pPr>
      <w:r>
        <w:rPr/>
        <w:t xml:space="preserve"/>
      </w:r>
    </w:p>
    <w:p>
      <w:pPr>
        <w:jc w:val="both"/>
      </w:pPr>
      <w:r>
        <w:rPr/>
        <w:t xml:space="preserve">首先，该文章没有考虑到荷兰社会对移民的态度可能会影响他们对土耳其语的态度和使用。此外，该文章没有涉及到土耳其移民在荷兰面临的歧视和排斥问题，这可能会影响他们对土耳其语的维护和使用。</w:t>
      </w:r>
    </w:p>
    <w:p>
      <w:pPr>
        <w:jc w:val="both"/>
      </w:pPr>
      <w:r>
        <w:rPr/>
        <w:t xml:space="preserve"/>
      </w:r>
    </w:p>
    <w:p>
      <w:pPr>
        <w:jc w:val="both"/>
      </w:pPr>
      <w:r>
        <w:rPr/>
        <w:t xml:space="preserve">其次，该文章没有提供足够的证据来支持作者所提出的主张。例如，作者声称教育是影响土耳其移民维护或转变语言的重要因素之一，但并未提供足够的数据来支持这一观点。</w:t>
      </w:r>
    </w:p>
    <w:p>
      <w:pPr>
        <w:jc w:val="both"/>
      </w:pPr>
      <w:r>
        <w:rPr/>
        <w:t xml:space="preserve"/>
      </w:r>
    </w:p>
    <w:p>
      <w:pPr>
        <w:jc w:val="both"/>
      </w:pPr>
      <w:r>
        <w:rPr/>
        <w:t xml:space="preserve">此外，该文章似乎忽略了个体因素与社会因素之间相互作用的复杂性。例如，在讨论土耳其移民维护或转变语言时，并未考虑到个人经历、家庭背景、文化认同等因素可能对他们决定是否维护或转变语言产生影响。</w:t>
      </w:r>
    </w:p>
    <w:p>
      <w:pPr>
        <w:jc w:val="both"/>
      </w:pPr>
      <w:r>
        <w:rPr/>
        <w:t xml:space="preserve"/>
      </w:r>
    </w:p>
    <w:p>
      <w:pPr>
        <w:jc w:val="both"/>
      </w:pPr>
      <w:r>
        <w:rPr/>
        <w:t xml:space="preserve">最后，该文章似乎缺乏平衡报道双方观点的努力。尽管作者提供了一些关于土耳其移民维护土耳其语的证据，但并未探讨荷兰社会对土耳其语的态度和使用情况。因此，该文章可能存在一定程度的偏袒。</w:t>
      </w:r>
    </w:p>
    <w:p>
      <w:pPr>
        <w:jc w:val="both"/>
      </w:pPr>
      <w:r>
        <w:rPr/>
        <w:t xml:space="preserve"/>
      </w:r>
    </w:p>
    <w:p>
      <w:pPr>
        <w:jc w:val="both"/>
      </w:pPr>
      <w:r>
        <w:rPr/>
        <w:t xml:space="preserve">总之，尽管该文章提供了一些有价值的信息，但它也存在一些潜在的偏见和局限性。为了更全面地理解移民维护或转变语言的复杂性，需要进一步研究个体和社会因素之间相互作用的复杂性，并平衡报道双方观点。</w:t>
      </w:r>
    </w:p>
    <w:p>
      <w:pPr>
        <w:pStyle w:val="Heading1"/>
      </w:pPr>
      <w:bookmarkStart w:id="5" w:name="_Toc5"/>
      <w:r>
        <w:t>Topics for further research:</w:t>
      </w:r>
      <w:bookmarkEnd w:id="5"/>
    </w:p>
    <w:p>
      <w:pPr>
        <w:spacing w:after="0"/>
        <w:numPr>
          <w:ilvl w:val="0"/>
          <w:numId w:val="2"/>
        </w:numPr>
      </w:pPr>
      <w:r>
        <w:rPr/>
        <w:t xml:space="preserve">Attitudes towards immigrants in the Netherlands
</w:t>
      </w:r>
    </w:p>
    <w:p>
      <w:pPr>
        <w:spacing w:after="0"/>
        <w:numPr>
          <w:ilvl w:val="0"/>
          <w:numId w:val="2"/>
        </w:numPr>
      </w:pPr>
      <w:r>
        <w:rPr/>
        <w:t xml:space="preserve">Discrimination and exclusion of Turkish immigrants in the Netherlands
</w:t>
      </w:r>
    </w:p>
    <w:p>
      <w:pPr>
        <w:spacing w:after="0"/>
        <w:numPr>
          <w:ilvl w:val="0"/>
          <w:numId w:val="2"/>
        </w:numPr>
      </w:pPr>
      <w:r>
        <w:rPr/>
        <w:t xml:space="preserve">Evidence supporting the role of education in language maintenance or shift
</w:t>
      </w:r>
    </w:p>
    <w:p>
      <w:pPr>
        <w:spacing w:after="0"/>
        <w:numPr>
          <w:ilvl w:val="0"/>
          <w:numId w:val="2"/>
        </w:numPr>
      </w:pPr>
      <w:r>
        <w:rPr/>
        <w:t xml:space="preserve">Individual factors influencing language maintenance or shift among Turkish immigrants
</w:t>
      </w:r>
    </w:p>
    <w:p>
      <w:pPr>
        <w:spacing w:after="0"/>
        <w:numPr>
          <w:ilvl w:val="0"/>
          <w:numId w:val="2"/>
        </w:numPr>
      </w:pPr>
      <w:r>
        <w:rPr/>
        <w:t xml:space="preserve">Dutch society's attitudes towards and use of the Turkish language
</w:t>
      </w:r>
    </w:p>
    <w:p>
      <w:pPr>
        <w:numPr>
          <w:ilvl w:val="0"/>
          <w:numId w:val="2"/>
        </w:numPr>
      </w:pPr>
      <w:r>
        <w:rPr/>
        <w:t xml:space="preserve">Balanced reporting of both sides' perspectives on language maintenance or shift among Turkish immigrants in the Netherlands.</w:t>
      </w:r>
    </w:p>
    <w:p>
      <w:pPr>
        <w:pStyle w:val="Heading1"/>
      </w:pPr>
      <w:bookmarkStart w:id="6" w:name="_Toc6"/>
      <w:r>
        <w:t>Report location:</w:t>
      </w:r>
      <w:bookmarkEnd w:id="6"/>
    </w:p>
    <w:p>
      <w:hyperlink r:id="rId8" w:history="1">
        <w:r>
          <w:rPr>
            <w:color w:val="2980b9"/>
            <w:u w:val="single"/>
          </w:rPr>
          <w:t xml:space="preserve">https://www.fullpicture.app/item/b65a59b5562fdb6ddf025c81caa803c4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1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language-use-and-ethnolinguistic-vitality-of-turkish-2b1fydnl" TargetMode="External"/><Relationship Id="rId8" Type="http://schemas.openxmlformats.org/officeDocument/2006/relationships/hyperlink" Target="https://www.fullpicture.app/item/b65a59b5562fdb6ddf025c81caa80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2023-04-03T17:51:31+02:00</dcterms:created>
  <dcterms:modified xsi:type="dcterms:W3CDTF">2023-04-03T17:51:31+02:00</dcterms:modified>
</cp:coreProperties>
</file>

<file path=docProps/custom.xml><?xml version="1.0" encoding="utf-8"?>
<Properties xmlns="http://schemas.openxmlformats.org/officeDocument/2006/custom-properties" xmlns:vt="http://schemas.openxmlformats.org/officeDocument/2006/docPropsVTypes"/>
</file>