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Hot and cold ethnicities modes of Ethnolinguistic Vitality.pdf</w:t>
      </w:r>
      <w:br/>
      <w:hyperlink r:id="rId7" w:history="1">
        <w:r>
          <w:rPr>
            <w:color w:val="2980b9"/>
            <w:u w:val="single"/>
          </w:rPr>
          <w:t xml:space="preserve">https://typeset.io/library/zhu-guan-yu-yan-huo-li-can-kao-wen-xian-1-1-20xfwzca/hot-and-cold-ethnicities-modes-of-ethnolinguistic-vitality-1g4wuxxa</w:t>
        </w:r>
      </w:hyperlink>
    </w:p>
    <w:p>
      <w:pPr>
        <w:pStyle w:val="Heading1"/>
      </w:pPr>
      <w:bookmarkStart w:id="2" w:name="_Toc2"/>
      <w:r>
        <w:t>Article summary:</w:t>
      </w:r>
      <w:bookmarkEnd w:id="2"/>
    </w:p>
    <w:p>
      <w:pPr>
        <w:jc w:val="both"/>
      </w:pPr>
      <w:r>
        <w:rPr/>
        <w:t xml:space="preserve">1. Subjective Ethnolinguistic Vitality Questionnaires (SEVQ) are not reliable indicators of actual vitality and do not directly correlate with ethnolinguistic behavior.</w:t>
      </w:r>
    </w:p>
    <w:p>
      <w:pPr>
        <w:jc w:val="both"/>
      </w:pPr>
      <w:r>
        <w:rPr/>
        <w:t xml:space="preserve">2. Ethnolinguistic vitality depends on emotional attachment to collective identity, which can be achieved through different means in different modes of operation (hot and cold).</w:t>
      </w:r>
    </w:p>
    <w:p>
      <w:pPr>
        <w:jc w:val="both"/>
      </w:pPr>
      <w:r>
        <w:rPr/>
        <w:t xml:space="preserve">3. Factors affecting ethnolinguistic vitality modes include social structural properties, beliefs, motivations, institutional support, and media completeness.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该文章提出了“热”和“冷”族群模式的概念，认为族群的民族语言活力取决于其成员对集体身份的情感依恋。然而，该文章存在一些偏见和不足之处。</w:t>
      </w:r>
    </w:p>
    <w:p>
      <w:pPr>
        <w:jc w:val="both"/>
      </w:pPr>
      <w:r>
        <w:rPr/>
        <w:t xml:space="preserve"/>
      </w:r>
    </w:p>
    <w:p>
      <w:pPr>
        <w:jc w:val="both"/>
      </w:pPr>
      <w:r>
        <w:rPr/>
        <w:t xml:space="preserve">首先，该文章没有考虑到社会历史和政治背景对民族语言活力的影响。例如，在爱沙尼亚，俄罗斯人口占少数民族，他们在苏联时期曾被强制使用俄语，并且在独立后仍然面临着歧视和排斥。这些因素可能会影响他们对自己民族语言的情感依恋程度。</w:t>
      </w:r>
    </w:p>
    <w:p>
      <w:pPr>
        <w:jc w:val="both"/>
      </w:pPr>
      <w:r>
        <w:rPr/>
        <w:t xml:space="preserve"/>
      </w:r>
    </w:p>
    <w:p>
      <w:pPr>
        <w:jc w:val="both"/>
      </w:pPr>
      <w:r>
        <w:rPr/>
        <w:t xml:space="preserve">其次，该文章没有充分探讨主观民族语言活力问卷（SEVQ）的有效性问题。虽然SEVQ可以反映一个群体对自身实际活力的主观感受，但它并不能准确地预测一个群体的实际行为。因此，在评估一个群体的民族语言活力时，需要综合考虑多种因素。</w:t>
      </w:r>
    </w:p>
    <w:p>
      <w:pPr>
        <w:jc w:val="both"/>
      </w:pPr>
      <w:r>
        <w:rPr/>
        <w:t xml:space="preserve"/>
      </w:r>
    </w:p>
    <w:p>
      <w:pPr>
        <w:jc w:val="both"/>
      </w:pPr>
      <w:r>
        <w:rPr/>
        <w:t xml:space="preserve">此外，该文章没有涉及到不同文化之间相互作用的复杂性。例如，在多元文化社会中，不同文化之间可能存在着竞争、冲突、合作等多种关系，这些关系可能会影响一个群体的民族语言活力。</w:t>
      </w:r>
    </w:p>
    <w:p>
      <w:pPr>
        <w:jc w:val="both"/>
      </w:pPr>
      <w:r>
        <w:rPr/>
        <w:t xml:space="preserve"/>
      </w:r>
    </w:p>
    <w:p>
      <w:pPr>
        <w:jc w:val="both"/>
      </w:pPr>
      <w:r>
        <w:rPr/>
        <w:t xml:space="preserve">最后，该文章没有充分考虑到个体对自身民族语言身份的认同和选择的自由。在现代社会中，个体可以自由选择使用哪种语言，并且不同文化之间的交流也越来越频繁。因此，在评估一个群体的民族语言活力时，需要充分尊重个体的选择和权利。</w:t>
      </w:r>
    </w:p>
    <w:p>
      <w:pPr>
        <w:jc w:val="both"/>
      </w:pPr>
      <w:r>
        <w:rPr/>
        <w:t xml:space="preserve"/>
      </w:r>
    </w:p>
    <w:p>
      <w:pPr>
        <w:jc w:val="both"/>
      </w:pPr>
      <w:r>
        <w:rPr/>
        <w:t xml:space="preserve">综上所述，该文章提出了一些有价值的观点和概念，但也存在一些偏见和不足之处。在未来的研究中，需要更加全面地考虑社会历史、政治背景、文化交流等多种因素，并且尊重个体选择和权利。</w:t>
      </w:r>
    </w:p>
    <w:p>
      <w:pPr>
        <w:pStyle w:val="Heading1"/>
      </w:pPr>
      <w:bookmarkStart w:id="5" w:name="_Toc5"/>
      <w:r>
        <w:t>Topics for further research:</w:t>
      </w:r>
      <w:bookmarkEnd w:id="5"/>
    </w:p>
    <w:p>
      <w:pPr>
        <w:spacing w:after="0"/>
        <w:numPr>
          <w:ilvl w:val="0"/>
          <w:numId w:val="2"/>
        </w:numPr>
      </w:pPr>
      <w:r>
        <w:rPr/>
        <w:t xml:space="preserve">社会历史和政治背景对民族语言活力的影响
</w:t>
      </w:r>
    </w:p>
    <w:p>
      <w:pPr>
        <w:spacing w:after="0"/>
        <w:numPr>
          <w:ilvl w:val="0"/>
          <w:numId w:val="2"/>
        </w:numPr>
      </w:pPr>
      <w:r>
        <w:rPr/>
        <w:t xml:space="preserve">主观民族语言活力问卷（SEVQ）的有效性问题
</w:t>
      </w:r>
    </w:p>
    <w:p>
      <w:pPr>
        <w:spacing w:after="0"/>
        <w:numPr>
          <w:ilvl w:val="0"/>
          <w:numId w:val="2"/>
        </w:numPr>
      </w:pPr>
      <w:r>
        <w:rPr/>
        <w:t xml:space="preserve">不同文化之间相互作用的复杂性
</w:t>
      </w:r>
    </w:p>
    <w:p>
      <w:pPr>
        <w:spacing w:after="0"/>
        <w:numPr>
          <w:ilvl w:val="0"/>
          <w:numId w:val="2"/>
        </w:numPr>
      </w:pPr>
      <w:r>
        <w:rPr/>
        <w:t xml:space="preserve">个体对自身民族语言身份的认同和选择的自由
</w:t>
      </w:r>
    </w:p>
    <w:p>
      <w:pPr>
        <w:spacing w:after="0"/>
        <w:numPr>
          <w:ilvl w:val="0"/>
          <w:numId w:val="2"/>
        </w:numPr>
      </w:pPr>
      <w:r>
        <w:rPr/>
        <w:t xml:space="preserve">尊重个体选择和权利
</w:t>
      </w:r>
    </w:p>
    <w:p>
      <w:pPr>
        <w:numPr>
          <w:ilvl w:val="0"/>
          <w:numId w:val="2"/>
        </w:numPr>
      </w:pPr>
      <w:r>
        <w:rPr/>
        <w:t xml:space="preserve">综合考虑多种因素评估一个群体的民族语言活力</w:t>
      </w:r>
    </w:p>
    <w:p>
      <w:pPr>
        <w:pStyle w:val="Heading1"/>
      </w:pPr>
      <w:bookmarkStart w:id="6" w:name="_Toc6"/>
      <w:r>
        <w:t>Report location:</w:t>
      </w:r>
      <w:bookmarkEnd w:id="6"/>
    </w:p>
    <w:p>
      <w:hyperlink r:id="rId8" w:history="1">
        <w:r>
          <w:rPr>
            <w:color w:val="2980b9"/>
            <w:u w:val="single"/>
          </w:rPr>
          <w:t xml:space="preserve">https://www.fullpicture.app/item/b68e601bb844660357f3c5005493611b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18EB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ypeset.io/library/zhu-guan-yu-yan-huo-li-can-kao-wen-xian-1-1-20xfwzca/hot-and-cold-ethnicities-modes-of-ethnolinguistic-vitality-1g4wuxxa" TargetMode="External"/><Relationship Id="rId8" Type="http://schemas.openxmlformats.org/officeDocument/2006/relationships/hyperlink" Target="https://www.fullpicture.app/item/b68e601bb844660357f3c5005493611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2023-03-30T15:36:28+02:00</dcterms:created>
  <dcterms:modified xsi:type="dcterms:W3CDTF">2023-03-30T15:36:28+02:00</dcterms:modified>
</cp:coreProperties>
</file>

<file path=docProps/custom.xml><?xml version="1.0" encoding="utf-8"?>
<Properties xmlns="http://schemas.openxmlformats.org/officeDocument/2006/custom-properties" xmlns:vt="http://schemas.openxmlformats.org/officeDocument/2006/docPropsVTypes"/>
</file>