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DNA Origami Nanostructures Elicit Dose‐Dependent Immunogenicity and Are Nontoxic up to High Doses In Vivo - Lucas - 2022 - Small - Wiley Online Library</w:t>
      </w:r>
      <w:br/>
      <w:hyperlink r:id="rId7" w:history="1">
        <w:r>
          <w:rPr>
            <w:color w:val="2980b9"/>
            <w:u w:val="single"/>
          </w:rPr>
          <w:t xml:space="preserve">https://onlinelibrary.wiley.com/doi/10.1002/smll.202108063</w:t>
        </w:r>
      </w:hyperlink>
    </w:p>
    <w:p>
      <w:pPr>
        <w:pStyle w:val="Heading1"/>
      </w:pPr>
      <w:bookmarkStart w:id="2" w:name="_Toc2"/>
      <w:r>
        <w:t>Article summary:</w:t>
      </w:r>
      <w:bookmarkEnd w:id="2"/>
    </w:p>
    <w:p>
      <w:pPr>
        <w:jc w:val="both"/>
      </w:pPr>
      <w:r>
        <w:rPr/>
        <w:t xml:space="preserve">1. DNA origami nanotechnology has potential for biomedical applications, but its impact on immunogenicity in vivo is not well understood.</w:t>
      </w:r>
    </w:p>
    <w:p>
      <w:pPr>
        <w:jc w:val="both"/>
      </w:pPr>
      <w:r>
        <w:rPr/>
        <w:t xml:space="preserve">2. Two different DNA origami vehicles were evaluated in vitro and with a repeated dosing regimen administered at a high dose in vivo to study early and late immunogenicity.</w:t>
      </w:r>
    </w:p>
    <w:p>
      <w:pPr>
        <w:jc w:val="both"/>
      </w:pPr>
      <w:r>
        <w:rPr/>
        <w:t xml:space="preserve">3. The studies showed that the DNA origami structures elicit a modest pro-inflammatory immune response that diminishes over time and are nontoxic, suggesting they represent a promising platform for drug delivery and vaccine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“DNA Origami Nanostructures Elicit Dose‐Dependent Immunogenicity and Are Nontoxic up to High Doses In Vivo” by Lucas (2022) provides an overview of the potential of DNA origami nanotechnology as a platform for biomedical applications, particularly drug delivery and vaccine development. The article presents evidence from both in vitro and in vivo experiments showing that the two different DNA origami vehicles tested elicited a modest pro-inflammatory immune response that diminished over time, while also being non-toxic up to high doses. </w:t>
      </w:r>
    </w:p>
    <w:p>
      <w:pPr>
        <w:jc w:val="both"/>
      </w:pPr>
      <w:r>
        <w:rPr/>
        <w:t xml:space="preserve">The article is generally reliable, providing evidence from both laboratory experiments and animal studies to support its claims. However, there are some points of consideration which could be further explored or discussed more thoroughly. For example, the article does not discuss any possible risks associated with using DNA origami nanotechnology for drug delivery or vaccine development, such as potential long-term effects on health or environmental impacts due to increased production of nanomaterials. Additionally, the article does not provide any discussion of alternative approaches or technologies which could be used instead of DNA origami nanotechnology for drug delivery or vaccine development. Furthermore, it is unclear whether the results presented are applicable to other types of drugs or vaccines beyond those tested in this study; further research would be needed to determine if these results can be generalized across different types of drugs or vaccines. </w:t>
      </w:r>
    </w:p>
    <w:p>
      <w:pPr>
        <w:jc w:val="both"/>
      </w:pPr>
      <w:r>
        <w:rPr/>
        <w:t xml:space="preserve">In conclusion, this article provides an overview of the potential use of DNA origami nanotechnology for biomedical applications such as drug delivery and vaccine development. While generally reliable, there are some points which could be further explored or discussed more thoroughly in order to provide a more comprehensive understanding of the implications of using this technology for these purposes.</w:t>
      </w:r>
    </w:p>
    <w:p>
      <w:pPr>
        <w:pStyle w:val="Heading1"/>
      </w:pPr>
      <w:bookmarkStart w:id="5" w:name="_Toc5"/>
      <w:r>
        <w:t>Topics for further research:</w:t>
      </w:r>
      <w:bookmarkEnd w:id="5"/>
    </w:p>
    <w:p>
      <w:pPr>
        <w:spacing w:after="0"/>
        <w:numPr>
          <w:ilvl w:val="0"/>
          <w:numId w:val="2"/>
        </w:numPr>
      </w:pPr>
      <w:r>
        <w:rPr/>
        <w:t xml:space="preserve">Risks associated with DNA origami nanotechnology</w:t>
      </w:r>
    </w:p>
    <w:p>
      <w:pPr>
        <w:spacing w:after="0"/>
        <w:numPr>
          <w:ilvl w:val="0"/>
          <w:numId w:val="2"/>
        </w:numPr>
      </w:pPr>
      <w:r>
        <w:rPr/>
        <w:t xml:space="preserve">Alternative technologies for drug delivery and vaccine development</w:t>
      </w:r>
    </w:p>
    <w:p>
      <w:pPr>
        <w:spacing w:after="0"/>
        <w:numPr>
          <w:ilvl w:val="0"/>
          <w:numId w:val="2"/>
        </w:numPr>
      </w:pPr>
      <w:r>
        <w:rPr/>
        <w:t xml:space="preserve">Generalizability of DNA origami nanotechnology results</w:t>
      </w:r>
    </w:p>
    <w:p>
      <w:pPr>
        <w:spacing w:after="0"/>
        <w:numPr>
          <w:ilvl w:val="0"/>
          <w:numId w:val="2"/>
        </w:numPr>
      </w:pPr>
      <w:r>
        <w:rPr/>
        <w:t xml:space="preserve">Long-term effects of DNA origami nanotechnology</w:t>
      </w:r>
    </w:p>
    <w:p>
      <w:pPr>
        <w:spacing w:after="0"/>
        <w:numPr>
          <w:ilvl w:val="0"/>
          <w:numId w:val="2"/>
        </w:numPr>
      </w:pPr>
      <w:r>
        <w:rPr/>
        <w:t xml:space="preserve">Environmental impacts of DNA origami nanotechnology</w:t>
      </w:r>
    </w:p>
    <w:p>
      <w:pPr>
        <w:numPr>
          <w:ilvl w:val="0"/>
          <w:numId w:val="2"/>
        </w:numPr>
      </w:pPr>
      <w:r>
        <w:rPr/>
        <w:t xml:space="preserve">Safety of DNA origami nanotechnology</w:t>
      </w:r>
    </w:p>
    <w:p>
      <w:pPr>
        <w:pStyle w:val="Heading1"/>
      </w:pPr>
      <w:bookmarkStart w:id="6" w:name="_Toc6"/>
      <w:r>
        <w:t>Report location:</w:t>
      </w:r>
      <w:bookmarkEnd w:id="6"/>
    </w:p>
    <w:p>
      <w:hyperlink r:id="rId8" w:history="1">
        <w:r>
          <w:rPr>
            <w:color w:val="2980b9"/>
            <w:u w:val="single"/>
          </w:rPr>
          <w:t xml:space="preserve">https://www.fullpicture.app/item/b6c14891785b2d2abe2e3103752ba3da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44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ll.202108063" TargetMode="External"/><Relationship Id="rId8" Type="http://schemas.openxmlformats.org/officeDocument/2006/relationships/hyperlink" Target="https://www.fullpicture.app/item/b6c14891785b2d2abe2e3103752ba3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2023-02-24T15:49:30+01:00</dcterms:created>
  <dcterms:modified xsi:type="dcterms:W3CDTF">2023-02-24T15:49:30+01:00</dcterms:modified>
</cp:coreProperties>
</file>

<file path=docProps/custom.xml><?xml version="1.0" encoding="utf-8"?>
<Properties xmlns="http://schemas.openxmlformats.org/officeDocument/2006/custom-properties" xmlns:vt="http://schemas.openxmlformats.org/officeDocument/2006/docPropsVTypes"/>
</file>