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Sztuka sakralna a prawo autorskie, czyli kilka uwag o zasadach korzystania z sakralnych utworów autorskoprawnych i wystawionych w przestrzeni sacrum - Studia z Prawa Wyznaniowego - Volume 24 (2021) - CEJSH - Yadda</w:t>
      </w:r>
      <w:br/>
      <w:hyperlink r:id="rId7" w:history="1">
        <w:r>
          <w:rPr>
            <w:color w:val="2980b9"/>
            <w:u w:val="single"/>
          </w:rPr>
          <w:t xml:space="preserve">https://cejsh.icm.edu.pl/cejsh/element/bwmeta1.element.ojs-doi-10_31743_spw_12899</w:t>
        </w:r>
      </w:hyperlink>
    </w:p>
    <w:p>
      <w:pPr>
        <w:pStyle w:val="Heading1"/>
      </w:pPr>
      <w:bookmarkStart w:id="2" w:name="_Toc2"/>
      <w:r>
        <w:t>Article summary:</w:t>
      </w:r>
      <w:bookmarkEnd w:id="2"/>
    </w:p>
    <w:p>
      <w:pPr>
        <w:jc w:val="both"/>
      </w:pPr>
      <w:r>
        <w:rPr/>
        <w:t xml:space="preserve">1. W artykule poruszono kwestię prawa autorskiego w kontekście korzystania z dzieł sztuki sakralnej, ze szczególnym uwzględnieniem zmieniających się warunków korzystania z utworów w erze cyfrowej.</w:t>
      </w:r>
    </w:p>
    <w:p>
      <w:pPr>
        <w:jc w:val="both"/>
      </w:pPr>
      <w:r>
        <w:rPr/>
        <w:t xml:space="preserve">2. Autorzy omawiają problematykę prawa panoramy, czyli rozpowszechniania utworów wystawionych na stałe w miejscach publicznych, oraz korzystania z utworów znajdujących się wewnątrz obiektów sakralnych.</w:t>
      </w:r>
    </w:p>
    <w:p>
      <w:pPr>
        <w:jc w:val="both"/>
      </w:pPr>
      <w:r>
        <w:rPr/>
        <w:t xml:space="preserve">3. Zaproponowano wprowadzenie nowych podejść do korzystania z dzieł sztuki sakralnej, takich jak szerokie rozumienie przestrzeni ogólnodostępnej i możliwość wynagrodzenia twórców za korzystanie z utworów podczas wydarzeń religijnych.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Przedstawiony artykuł dotyczy zagadnień związanych z prawem autorskim w kontekście korzystania z dzieł sztuki sakralnej. Autorzy mają na celu zbadanie, czy istniejące ustalenia w dziedzinie prawa autorskiego nadal są aktualne w obliczu dynamicznego rozwoju technologii i zmieniających się warunków korzystania z utworów.</w:t>
      </w:r>
    </w:p>
    <w:p>
      <w:pPr>
        <w:jc w:val="both"/>
      </w:pPr>
      <w:r>
        <w:rPr/>
        <w:t xml:space="preserve"/>
      </w:r>
    </w:p>
    <w:p>
      <w:pPr>
        <w:jc w:val="both"/>
      </w:pPr>
      <w:r>
        <w:rPr/>
        <w:t xml:space="preserve">Jednym z głównych problemów, które autorzy poruszają, jest kwestia tzw. wolności panoramy, czyli możliwości rozpowszechniania utworów sztuki sakralnej wystawionych na stałe w miejscach publicznych. Autorzy sugerują, że należy zmienić podejście do umiejscowienia utworu i rozumieć przestrzeń ogólnodostępną jako miejsce dostępne dla publiczności. Ponadto, proponują wprowadzenie kategorii "wydarzenia religijnego" i przyjęcie, że twórcy mogliby otrzymać wynagrodzenie za korzystanie z ich utworów podczas takich wydarzeń.</w:t>
      </w:r>
    </w:p>
    <w:p>
      <w:pPr>
        <w:jc w:val="both"/>
      </w:pPr>
      <w:r>
        <w:rPr/>
        <w:t xml:space="preserve"/>
      </w:r>
    </w:p>
    <w:p>
      <w:pPr>
        <w:jc w:val="both"/>
      </w:pPr>
      <w:r>
        <w:rPr/>
        <w:t xml:space="preserve">Pomimo interesujących tematów poruszanych w artykule, można dostrzec kilka potencjalnych uprzedzeń i brakujących punktów do rozważenia. Po pierwsze, autorzy skupiają się głównie na aspektach prawnych i technologicznych korzystania z dzieł sztuki sakralnej, pomijając inne ważne aspekty takie jak wartość artystyczna czy religijna tych dzieł. Ponadto, artykuł nie przedstawia żadnych dowodów ani badań empirycznych na poparcie swoich twierdzeń, co osłabia jego wiarygodność.</w:t>
      </w:r>
    </w:p>
    <w:p>
      <w:pPr>
        <w:jc w:val="both"/>
      </w:pPr>
      <w:r>
        <w:rPr/>
        <w:t xml:space="preserve"/>
      </w:r>
    </w:p>
    <w:p>
      <w:pPr>
        <w:jc w:val="both"/>
      </w:pPr>
      <w:r>
        <w:rPr/>
        <w:t xml:space="preserve">Dodatkowo, autorzy nie uwzględniają potencjalnych kontrargumentów lub zagrożeń związanych z korzystaniem z utworów sztuki sakralnej. Na przykład, mogą istnieć obawy dotyczące komercjalizacji i profanacji takich dzieł w przypadku ich szerokiego udostępniania w przestrzeni cyfrowej.</w:t>
      </w:r>
    </w:p>
    <w:p>
      <w:pPr>
        <w:jc w:val="both"/>
      </w:pPr>
      <w:r>
        <w:rPr/>
        <w:t xml:space="preserve"/>
      </w:r>
    </w:p>
    <w:p>
      <w:pPr>
        <w:jc w:val="both"/>
      </w:pPr>
      <w:r>
        <w:rPr/>
        <w:t xml:space="preserve">Warto również zauważyć, że artykuł może być stronniczy w swoim podejściu do tematu. Autorzy sugerują zmiany w prawie autorskim, które mogą prowadzić do większych uprawnień dla twórców dzieł sztuki sakralnej i możliwości otrzymywania wynagrodzenia za ich wykorzystanie. Jednakże, nie przedstawiają równocześnie argumentów przeciwko tym zmianom lub potencjalnych negatywnych skutków dla innych stron, takich jak instytucje religijne czy społeczności korzystające z tych dzieł.</w:t>
      </w:r>
    </w:p>
    <w:p>
      <w:pPr>
        <w:jc w:val="both"/>
      </w:pPr>
      <w:r>
        <w:rPr/>
        <w:t xml:space="preserve"/>
      </w:r>
    </w:p>
    <w:p>
      <w:pPr>
        <w:jc w:val="both"/>
      </w:pPr>
      <w:r>
        <w:rPr/>
        <w:t xml:space="preserve">Podsumowując, artykuł zawiera interesujące tematy dotyczące prawa autorskiego i korzystania z dzieł sztuki sakralnej. Jednakże, można dostrzec pewne uprzedzenia i braki w prezentowanych argumentach oraz stronniczość w podejściu do tematu. W celu pełniejszego zrozumienia zagadnienia, warto uwzględnić również inne perspektywy i potencjalne kontrargumenty.</w:t>
      </w:r>
    </w:p>
    <w:p>
      <w:pPr>
        <w:pStyle w:val="Heading1"/>
      </w:pPr>
      <w:bookmarkStart w:id="5" w:name="_Toc5"/>
      <w:r>
        <w:t>Topics for further research:</w:t>
      </w:r>
      <w:bookmarkEnd w:id="5"/>
    </w:p>
    <w:p>
      <w:pPr>
        <w:spacing w:after="0"/>
        <w:numPr>
          <w:ilvl w:val="0"/>
          <w:numId w:val="2"/>
        </w:numPr>
      </w:pPr>
      <w:r>
        <w:rPr/>
        <w:t xml:space="preserve">Wartość artystyczna dzieł sztuki sakralnej
</w:t>
      </w:r>
    </w:p>
    <w:p>
      <w:pPr>
        <w:spacing w:after="0"/>
        <w:numPr>
          <w:ilvl w:val="0"/>
          <w:numId w:val="2"/>
        </w:numPr>
      </w:pPr>
      <w:r>
        <w:rPr/>
        <w:t xml:space="preserve">Religijne znaczenie dzieł sztuki sakralnej
</w:t>
      </w:r>
    </w:p>
    <w:p>
      <w:pPr>
        <w:spacing w:after="0"/>
        <w:numPr>
          <w:ilvl w:val="0"/>
          <w:numId w:val="2"/>
        </w:numPr>
      </w:pPr>
      <w:r>
        <w:rPr/>
        <w:t xml:space="preserve">Komercjalizacja i profanacja dzieł sztuki sakralnej w przestrzeni cyfrowej
</w:t>
      </w:r>
    </w:p>
    <w:p>
      <w:pPr>
        <w:spacing w:after="0"/>
        <w:numPr>
          <w:ilvl w:val="0"/>
          <w:numId w:val="2"/>
        </w:numPr>
      </w:pPr>
      <w:r>
        <w:rPr/>
        <w:t xml:space="preserve">Potencjalne zagrożenia związane z udostępnianiem utworów sztuki sakralnej
</w:t>
      </w:r>
    </w:p>
    <w:p>
      <w:pPr>
        <w:spacing w:after="0"/>
        <w:numPr>
          <w:ilvl w:val="0"/>
          <w:numId w:val="2"/>
        </w:numPr>
      </w:pPr>
      <w:r>
        <w:rPr/>
        <w:t xml:space="preserve">Skutki zmian w prawie autorskim dla instytucji religijnych i społeczności korzystających z dzieł sztuki sakralnej
</w:t>
      </w:r>
    </w:p>
    <w:p>
      <w:pPr>
        <w:numPr>
          <w:ilvl w:val="0"/>
          <w:numId w:val="2"/>
        </w:numPr>
      </w:pPr>
      <w:r>
        <w:rPr/>
        <w:t xml:space="preserve">Inne perspektywy na korzystanie z dzieł sztuki sakralnej w kontekście prawa autorskiego</w:t>
      </w:r>
    </w:p>
    <w:p>
      <w:pPr>
        <w:pStyle w:val="Heading1"/>
      </w:pPr>
      <w:bookmarkStart w:id="6" w:name="_Toc6"/>
      <w:r>
        <w:t>Report location:</w:t>
      </w:r>
      <w:bookmarkEnd w:id="6"/>
    </w:p>
    <w:p>
      <w:hyperlink r:id="rId8" w:history="1">
        <w:r>
          <w:rPr>
            <w:color w:val="2980b9"/>
            <w:u w:val="single"/>
          </w:rPr>
          <w:t xml:space="preserve">https://www.fullpicture.app/item/b7c9104839173d8db6df1d89a85a1e49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7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jsh.icm.edu.pl/cejsh/element/bwmeta1.element.ojs-doi-10_31743_spw_12899" TargetMode="External"/><Relationship Id="rId8" Type="http://schemas.openxmlformats.org/officeDocument/2006/relationships/hyperlink" Target="https://www.fullpicture.app/item/b7c9104839173d8db6df1d89a85a1e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2023-12-23T22:47:36+01:00</dcterms:created>
  <dcterms:modified xsi:type="dcterms:W3CDTF">2023-12-23T22:47:36+01:00</dcterms:modified>
</cp:coreProperties>
</file>

<file path=docProps/custom.xml><?xml version="1.0" encoding="utf-8"?>
<Properties xmlns="http://schemas.openxmlformats.org/officeDocument/2006/custom-properties" xmlns:vt="http://schemas.openxmlformats.org/officeDocument/2006/docPropsVTypes"/>
</file>