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Assessment of the role of an ABCC transporter TuMRP1 in the toxicity of abamectin to Tetranychus urticae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https://www.sciencedirect.com/science/article/pii/S0048357523002080?via%3Dihub=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TuMRP1是Tetranychus urticae中的一个ABCC转运蛋白，其表达水平与对abamectin的敏感性相关。</w:t>
      </w:r>
    </w:p>
    <w:p>
      <w:pPr>
        <w:jc w:val="both"/>
      </w:pPr>
      <w:r>
        <w:rPr/>
        <w:t xml:space="preserve">2. 通过MK-571抑制剂的协同生物测定、TuMRP1表达与对abamectin敏感性之间的遗传关联以及RNA干扰介导的TuMRP1沉默等实验证明了该转运蛋白在abamectin毒性中的直接作用。</w:t>
      </w:r>
    </w:p>
    <w:p>
      <w:pPr>
        <w:jc w:val="both"/>
      </w:pPr>
      <w:r>
        <w:rPr/>
        <w:t xml:space="preserve">3. 尽管ABC转运蛋白通常参与将杀虫化合物从细胞中排出，但研究结果暗示这些蛋白在abamectin作用机制中可能有其他角色，或者强调它们的表达与abamectin毒性之间存在间接关联。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潜在偏见及其来源：文章没有明确提到作者的背景和利益关系，这可能导致潜在的偏见。如果作者有与研究主题相关的利益关系，他们可能倾向于支持某种观点或结果。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片面报道：文章只关注了ABCC转运蛋白TuMRP1在abamectin毒性中的作用，而忽略了其他可能影响abamectin抗性的因素。这种片面报道可能导致读者对该研究结果的整体理解不完整。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无根据的主张：文章声称TuMRP1在abamectin毒性中起着直接作用，但并未提供充分的证据来支持这一主张。仅凭MK-571抑制剂和RNA干扰实验得出结论是不够充分和可靠的。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缺失的考虑点：文章没有讨论其他可能解释结果的因素。例如，是否存在其他ABC转运蛋白或代谢途径参与了abamectin毒性和抗性过程？这些因素是否会对研究结果产生影响？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所提出主张的缺失证据：尽管文章声称TuMRP1表达水平在抗性种群中显著降低，但并未提供充分的实验证据来支持这一观点。仅仅依靠转录组和RNA-seq数据的重新分析是不够可靠的。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未探索的反驳：文章没有讨论可能与其结果相矛盾的其他研究或观点。这种未探索的反驳可能导致读者对该研究结果的可靠性产生质疑。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宣传内容：文章没有明确指出其宣传内容或目的。如果文章有意识地选择性报道结果或强调某种观点，那么它可能被视为宣传而非客观科学报道。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偏袒：文章没有平等地呈现双方观点或证据。如果作者只关注支持自己观点的证据，并忽略了其他可能存在的证据，那么他们可能存在偏袒倾向。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是否注意到可能的风险：文章没有明确讨论使用abamectin对环境和人类健康可能带来的潜在风险。这种缺失可能导致读者对该研究结果产生误导。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问题，包括潜在偏见、片面报道、无根据的主张、缺失的考虑点和证据，未探索的反驳，宣传内容，偏袒以及对可能风险的忽视。读者在阅读和解释该研究结果时应保持批判思维，并寻找更全面和可靠的证据来支持或反驳这些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其他可能影响抗性的因素
</w:t>
      </w:r>
    </w:p>
    <w:p>
      <w:pPr>
        <w:spacing w:after="0"/>
        <w:numPr>
          <w:ilvl w:val="0"/>
          <w:numId w:val="2"/>
        </w:numPr>
      </w:pPr>
      <w:r>
        <w:rPr/>
        <w:t xml:space="preserve">对TuMRP1在毒性中的直接作用的证据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其他ABC转运蛋白或代谢途径的影响
</w:t>
      </w:r>
    </w:p>
    <w:p>
      <w:pPr>
        <w:spacing w:after="0"/>
        <w:numPr>
          <w:ilvl w:val="0"/>
          <w:numId w:val="2"/>
        </w:numPr>
      </w:pPr>
      <w:r>
        <w:rPr/>
        <w:t xml:space="preserve">TuMRP1表达水平降低的实验证据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与结果相矛盾的其他研究或观点
</w:t>
      </w:r>
    </w:p>
    <w:p>
      <w:pPr>
        <w:spacing w:after="0"/>
        <w:numPr>
          <w:ilvl w:val="0"/>
          <w:numId w:val="2"/>
        </w:numPr>
      </w:pPr>
      <w:r>
        <w:rPr/>
        <w:t xml:space="preserve">文章的宣传内容或目的
</w:t>
      </w:r>
    </w:p>
    <w:p>
      <w:pPr>
        <w:spacing w:after="0"/>
        <w:numPr>
          <w:ilvl w:val="0"/>
          <w:numId w:val="2"/>
        </w:numPr>
      </w:pPr>
      <w:r>
        <w:rPr/>
        <w:t xml:space="preserve">平等呈现双方观点或证据的偏袒
</w:t>
      </w:r>
    </w:p>
    <w:p>
      <w:pPr>
        <w:numPr>
          <w:ilvl w:val="0"/>
          <w:numId w:val="2"/>
        </w:numPr>
      </w:pPr>
      <w:r>
        <w:rPr/>
        <w:t xml:space="preserve">对潜在风险的忽视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https://www.fullpicture.app/item/b811c3bd189e1bbc2bf300887ac3b328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0262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357523002080?via%3Dihub=" TargetMode="External"/><Relationship Id="rId8" Type="http://schemas.openxmlformats.org/officeDocument/2006/relationships/hyperlink" Target="https://www.fullpicture.app/item/b811c3bd189e1bbc2bf300887ac3b3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2024-01-08T04:09:19+01:00</dcterms:created>
  <dcterms:modified xsi:type="dcterms:W3CDTF">2024-01-08T04:09:19+01:00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