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 performance plasma amyloid-β biomarkers for Alzheimer’s disease | Nature</w:t>
      </w:r>
      <w:br/>
      <w:hyperlink r:id="rId7" w:history="1">
        <w:r>
          <w:rPr>
            <w:color w:val="2980b9"/>
            <w:u w:val="single"/>
          </w:rPr>
          <w:t xml:space="preserve">https://www-nature-com-s.vpn.seu.edu.cn:8118/articles/nature25456</w:t>
        </w:r>
      </w:hyperlink>
    </w:p>
    <w:p>
      <w:pPr>
        <w:pStyle w:val="Heading1"/>
      </w:pPr>
      <w:bookmarkStart w:id="2" w:name="_Toc2"/>
      <w:r>
        <w:t>Article summary:</w:t>
      </w:r>
      <w:bookmarkEnd w:id="2"/>
    </w:p>
    <w:p>
      <w:pPr>
        <w:jc w:val="both"/>
      </w:pPr>
      <w:r>
        <w:rPr/>
        <w:t xml:space="preserve">1. Researchers have developed a minimally invasive, cost-effective blood-based biomarker for Alzheimer’s disease using immunoprecipitation coupled with mass spectrometry.</w:t>
      </w:r>
    </w:p>
    <w:p>
      <w:pPr>
        <w:jc w:val="both"/>
      </w:pPr>
      <w:r>
        <w:rPr/>
        <w:t xml:space="preserve">2. The biomarker was tested in two independent data sets and showed high performance when predicting brain amyloid-β burden.</w:t>
      </w:r>
    </w:p>
    <w:p>
      <w:pPr>
        <w:jc w:val="both"/>
      </w:pPr>
      <w:r>
        <w:rPr/>
        <w:t xml:space="preserve">3. The biomarker also showed correlations with amyloid-β-PET burden and levels of Aβ1–42 in cerebrospinal fluid, demonstrating its potential clinical utility in predicting brain amyloid-β burden at an individual level.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“High performance plasma amyloid-β biomarkers for Alzheimer’s disease | Nature” is a well written and comprehensive study that provides evidence for the potential use of a minimally invasive, cost-effective blood-based biomarker for Alzheimer’s disease. The authors provide detailed information on the methodology used to develop the biomarker, as well as results from two independent data sets that demonstrate its high performance when predicting brain amyloid-β burden. Furthermore, the authors show correlations between the biomarker and both amyloid-β PET burden and levels of Aβ1–42 in cerebrospinal fluid, further demonstrating its potential clinical utility in predicting brain amyloid-β burden at an individual level.</w:t>
      </w:r>
    </w:p>
    <w:p>
      <w:pPr>
        <w:jc w:val="both"/>
      </w:pPr>
      <w:r>
        <w:rPr/>
        <w:t xml:space="preserve">The article is generally trustworthy and reliable; however, there are some points of consideration that should be noted. Firstly, while the authors do discuss possible risks associated with using this type of biomarker (e.g., false positives or negatives), they do not provide any specific details on how these risks can be mitigated or avoided. Secondly, while the authors do present both sides of the argument (i.e., those who support using this type of biomarker versus those who oppose it), they do not explore any counterarguments or alternative perspectives in depth. Finally, while the article does provide evidence to support its claims, it does not provide any evidence to refute them; thus, it could be argued that it is somewhat one sided in its reporting.</w:t>
      </w:r>
    </w:p>
    <w:p>
      <w:pPr>
        <w:jc w:val="both"/>
      </w:pPr>
      <w:r>
        <w:rPr/>
        <w:t xml:space="preserve">In conclusion, this article provides a comprehensive overview of a new minimally invasive blood based biomarker for Alzheimer’s disease and presents evidence to support its potential use in clinical settings; however, there are some points of consideration that should be noted before drawing any definitive conclusions about its trustworthiness and reliability.</w:t>
      </w:r>
    </w:p>
    <w:p>
      <w:pPr>
        <w:pStyle w:val="Heading1"/>
      </w:pPr>
      <w:bookmarkStart w:id="5" w:name="_Toc5"/>
      <w:r>
        <w:t>Topics for further research:</w:t>
      </w:r>
      <w:bookmarkEnd w:id="5"/>
    </w:p>
    <w:p>
      <w:pPr>
        <w:spacing w:after="0"/>
        <w:numPr>
          <w:ilvl w:val="0"/>
          <w:numId w:val="2"/>
        </w:numPr>
      </w:pPr>
      <w:r>
        <w:rPr/>
        <w:t xml:space="preserve">False positives and negatives in Alzheimer's biomarkers</w:t>
      </w:r>
    </w:p>
    <w:p>
      <w:pPr>
        <w:spacing w:after="0"/>
        <w:numPr>
          <w:ilvl w:val="0"/>
          <w:numId w:val="2"/>
        </w:numPr>
      </w:pPr>
      <w:r>
        <w:rPr/>
        <w:t xml:space="preserve">Alternative perspectives on Alzheimer's biomarkers</w:t>
      </w:r>
    </w:p>
    <w:p>
      <w:pPr>
        <w:spacing w:after="0"/>
        <w:numPr>
          <w:ilvl w:val="0"/>
          <w:numId w:val="2"/>
        </w:numPr>
      </w:pPr>
      <w:r>
        <w:rPr/>
        <w:t xml:space="preserve">Mitigating risks associated with Alzheimer's biomarkers</w:t>
      </w:r>
    </w:p>
    <w:p>
      <w:pPr>
        <w:spacing w:after="0"/>
        <w:numPr>
          <w:ilvl w:val="0"/>
          <w:numId w:val="2"/>
        </w:numPr>
      </w:pPr>
      <w:r>
        <w:rPr/>
        <w:t xml:space="preserve">Clinical utility of Alzheimer's biomarkers</w:t>
      </w:r>
    </w:p>
    <w:p>
      <w:pPr>
        <w:spacing w:after="0"/>
        <w:numPr>
          <w:ilvl w:val="0"/>
          <w:numId w:val="2"/>
        </w:numPr>
      </w:pPr>
      <w:r>
        <w:rPr/>
        <w:t xml:space="preserve">Evidence refuting claims about Alzheimer's biomarkers</w:t>
      </w:r>
    </w:p>
    <w:p>
      <w:pPr>
        <w:numPr>
          <w:ilvl w:val="0"/>
          <w:numId w:val="2"/>
        </w:numPr>
      </w:pPr>
      <w:r>
        <w:rPr/>
        <w:t xml:space="preserve">Cost-effectiveness of Alzheimer's biomarkers</w:t>
      </w:r>
    </w:p>
    <w:p>
      <w:pPr>
        <w:pStyle w:val="Heading1"/>
      </w:pPr>
      <w:bookmarkStart w:id="6" w:name="_Toc6"/>
      <w:r>
        <w:t>Report location:</w:t>
      </w:r>
      <w:bookmarkEnd w:id="6"/>
    </w:p>
    <w:p>
      <w:hyperlink r:id="rId8" w:history="1">
        <w:r>
          <w:rPr>
            <w:color w:val="2980b9"/>
            <w:u w:val="single"/>
          </w:rPr>
          <w:t xml:space="preserve">https://www.fullpicture.app/item/b8d687cfe9f39e39d10d76001572d016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CDE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s.vpn.seu.edu.cn:8118/articles/nature25456" TargetMode="External"/><Relationship Id="rId8" Type="http://schemas.openxmlformats.org/officeDocument/2006/relationships/hyperlink" Target="https://www.fullpicture.app/item/b8d687cfe9f39e39d10d76001572d0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2023-03-02T00:45:30+01:00</dcterms:created>
  <dcterms:modified xsi:type="dcterms:W3CDTF">2023-03-02T00:45:30+01:00</dcterms:modified>
</cp:coreProperties>
</file>

<file path=docProps/custom.xml><?xml version="1.0" encoding="utf-8"?>
<Properties xmlns="http://schemas.openxmlformats.org/officeDocument/2006/custom-properties" xmlns:vt="http://schemas.openxmlformats.org/officeDocument/2006/docPropsVTypes"/>
</file>