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Validation of the GLIM criteria for diagnosis of malnutrition and quality of life in patients with inflammatory bowel disease: A multicenter, prospective, observational study - PubMed</w:t>
      </w:r>
      <w:br/>
      <w:hyperlink r:id="rId7" w:history="1">
        <w:r>
          <w:rPr>
            <w:color w:val="2980b9"/>
            <w:u w:val="single"/>
          </w:rPr>
          <w:t xml:space="preserve">https://pubmed.ncbi.nlm.nih.gov/35537380/</w:t>
        </w:r>
      </w:hyperlink>
    </w:p>
    <w:p>
      <w:pPr>
        <w:pStyle w:val="Heading1"/>
      </w:pPr>
      <w:bookmarkStart w:id="2" w:name="_Toc2"/>
      <w:r>
        <w:t>Article summary:</w:t>
      </w:r>
      <w:bookmarkEnd w:id="2"/>
    </w:p>
    <w:p>
      <w:pPr>
        <w:jc w:val="both"/>
      </w:pPr>
      <w:r>
        <w:rPr/>
        <w:t xml:space="preserve">1. This multicenter, prospective, observational study assessed hospitalized patients with inflammatory bowel disease (IBD) at four general hospitals.</w:t>
      </w:r>
    </w:p>
    <w:p>
      <w:pPr>
        <w:jc w:val="both"/>
      </w:pPr>
      <w:r>
        <w:rPr/>
        <w:t xml:space="preserve">2. The Global Leadership Initiative on Malnutrition (GLIM) criteria was used to evaluate the nutritional status of the patients and its validity was compared to other criteria such as World Health Organization (WHO) related body mass index (BMI) cut-off value, Subjective Global Assessment (SGA), and European Society for Clinical Nutrition and Metabolism (ESPEN).</w:t>
      </w:r>
    </w:p>
    <w:p>
      <w:pPr>
        <w:jc w:val="both"/>
      </w:pPr>
      <w:r>
        <w:rPr/>
        <w:t xml:space="preserve">3. The GLIM criteria showed a substantial concordance with ESPEN criteria and a fair concordance with SGA and WHO criteria.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multicenter, prospective, observational study that assesses hospitalized patients with inflammatory bowel disease (IBD). The authors use the Global Leadership Initiative on Malnutrition (GLIM) criteria to evaluate the nutritional status of the patients and compare it to other criteria such as World Health Organization (WHO) related body mass index (BMI) cut-off value, Subjective Global Assessment (SGA), and European Society for Clinical Nutrition and Metabolism (ESPEN). The results show that GLIM has a substantial concordance with ESPEN criteria and a fair concordance with SGA and WHO criteria.</w:t>
      </w:r>
    </w:p>
    <w:p>
      <w:pPr>
        <w:jc w:val="both"/>
      </w:pPr>
      <w:r>
        <w:rPr/>
        <w:t xml:space="preserve">The trustworthiness of this article is high due to its use of multiple sources of evidence from different hospitals in order to validate the GLIM criterion for malnutrition diagnosis in patients with inflammatory bowel disease. Furthermore, the authors have provided detailed information about their methods which increases the reliability of their findings. Additionally, they have also discussed potential limitations such as selection bias due to only including hospitalized patients in their study which could affect the generalizability of their results.</w:t>
      </w:r>
    </w:p>
    <w:p>
      <w:pPr>
        <w:jc w:val="both"/>
      </w:pPr>
      <w:r>
        <w:rPr/>
        <w:t xml:space="preserve">However, there are some points that could be improved upon in this article. For example, there is no discussion about possible risks associated with using GLIM or any other criterion for malnutrition diagnosis which could be important for clinicians when making decisions about patient care. Additionally, there is no mention of any counterarguments or alternative perspectives which could provide further insight into this topic. Finally, there is no exploration into how these findings can be applied in clinical practice which would be beneficial for healthcare professionals who are looking to implement these findings into their practice.</w:t>
      </w:r>
    </w:p>
    <w:p>
      <w:pPr>
        <w:pStyle w:val="Heading1"/>
      </w:pPr>
      <w:bookmarkStart w:id="5" w:name="_Toc5"/>
      <w:r>
        <w:t>Topics for further research:</w:t>
      </w:r>
      <w:bookmarkEnd w:id="5"/>
    </w:p>
    <w:p>
      <w:pPr>
        <w:spacing w:after="0"/>
        <w:numPr>
          <w:ilvl w:val="0"/>
          <w:numId w:val="2"/>
        </w:numPr>
      </w:pPr>
      <w:r>
        <w:rPr/>
        <w:t xml:space="preserve">Risk assessment for malnutrition diagnosis</w:t>
      </w:r>
    </w:p>
    <w:p>
      <w:pPr>
        <w:spacing w:after="0"/>
        <w:numPr>
          <w:ilvl w:val="0"/>
          <w:numId w:val="2"/>
        </w:numPr>
      </w:pPr>
      <w:r>
        <w:rPr/>
        <w:t xml:space="preserve">Alternative perspectives on malnutrition diagnosis</w:t>
      </w:r>
    </w:p>
    <w:p>
      <w:pPr>
        <w:spacing w:after="0"/>
        <w:numPr>
          <w:ilvl w:val="0"/>
          <w:numId w:val="2"/>
        </w:numPr>
      </w:pPr>
      <w:r>
        <w:rPr/>
        <w:t xml:space="preserve">Clinical implications of malnutrition diagnosis</w:t>
      </w:r>
    </w:p>
    <w:p>
      <w:pPr>
        <w:spacing w:after="0"/>
        <w:numPr>
          <w:ilvl w:val="0"/>
          <w:numId w:val="2"/>
        </w:numPr>
      </w:pPr>
      <w:r>
        <w:rPr/>
        <w:t xml:space="preserve">Selection bias in malnutrition diagnosis</w:t>
      </w:r>
    </w:p>
    <w:p>
      <w:pPr>
        <w:spacing w:after="0"/>
        <w:numPr>
          <w:ilvl w:val="0"/>
          <w:numId w:val="2"/>
        </w:numPr>
      </w:pPr>
      <w:r>
        <w:rPr/>
        <w:t xml:space="preserve">Counterarguments to GLIM criteria</w:t>
      </w:r>
    </w:p>
    <w:p>
      <w:pPr>
        <w:numPr>
          <w:ilvl w:val="0"/>
          <w:numId w:val="2"/>
        </w:numPr>
      </w:pPr>
      <w:r>
        <w:rPr/>
        <w:t xml:space="preserve">Application of GLIM criteria in clinical practice</w:t>
      </w:r>
    </w:p>
    <w:p>
      <w:pPr>
        <w:pStyle w:val="Heading1"/>
      </w:pPr>
      <w:bookmarkStart w:id="6" w:name="_Toc6"/>
      <w:r>
        <w:t>Report location:</w:t>
      </w:r>
      <w:bookmarkEnd w:id="6"/>
    </w:p>
    <w:p>
      <w:hyperlink r:id="rId8" w:history="1">
        <w:r>
          <w:rPr>
            <w:color w:val="2980b9"/>
            <w:u w:val="single"/>
          </w:rPr>
          <w:t xml:space="preserve">https://www.fullpicture.app/item/b9017f34a5d12da0001b436600fe6394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7BC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537380/" TargetMode="External"/><Relationship Id="rId8" Type="http://schemas.openxmlformats.org/officeDocument/2006/relationships/hyperlink" Target="https://www.fullpicture.app/item/b9017f34a5d12da0001b436600fe63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2023-02-21T07:52:18+01:00</dcterms:created>
  <dcterms:modified xsi:type="dcterms:W3CDTF">2023-02-21T07:52:18+01:00</dcterms:modified>
</cp:coreProperties>
</file>

<file path=docProps/custom.xml><?xml version="1.0" encoding="utf-8"?>
<Properties xmlns="http://schemas.openxmlformats.org/officeDocument/2006/custom-properties" xmlns:vt="http://schemas.openxmlformats.org/officeDocument/2006/docPropsVTypes"/>
</file>