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Efficacy and Safety of Betibeglogene Autotemcel Gene Therapy for the Treatment of Transfusion-Dependent β-Thalassemia: Results in Patients with up to 6 Years of Follow-up | Blood | American Society of Hematology</w:t>
      </w:r>
      <w:br/>
      <w:hyperlink r:id="rId7" w:history="1">
        <w:r>
          <w:rPr>
            <w:color w:val="2980b9"/>
            <w:u w:val="single"/>
          </w:rPr>
          <w:t xml:space="preserve">https://ashpublications.org/blood/article/136/Supplement%201/51/470077/Long-Term-Efficacy-and-Safety-of-Betibeglogene</w:t>
        </w:r>
      </w:hyperlink>
    </w:p>
    <w:p>
      <w:pPr>
        <w:pStyle w:val="Heading1"/>
      </w:pPr>
      <w:bookmarkStart w:id="2" w:name="_Toc2"/>
      <w:r>
        <w:t>Article summary:</w:t>
      </w:r>
      <w:bookmarkEnd w:id="2"/>
    </w:p>
    <w:p>
      <w:pPr>
        <w:jc w:val="both"/>
      </w:pPr>
      <w:r>
        <w:rPr/>
        <w:t xml:space="preserve">1. Betibeglogene autotemcel gene therapy shows long-term efficacy and safety in the treatment of transfusion-dependent β-thalassemia (TDT).</w:t>
      </w:r>
    </w:p>
    <w:p>
      <w:pPr>
        <w:jc w:val="both"/>
      </w:pPr>
      <w:r>
        <w:rPr/>
        <w:t xml:space="preserve">2. Patients treated with beti-cel gene therapy achieved transfusion independence (TI) and had stable production of functional adult hemoglobin (Hb).</w:t>
      </w:r>
    </w:p>
    <w:p>
      <w:pPr>
        <w:jc w:val="both"/>
      </w:pPr>
      <w:r>
        <w:rPr/>
        <w:t xml:space="preserve">3. The therapy resulted in effective iron reduction and improved hematologic parameters, with a favorable long-term safety profile.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这篇文章介绍了一项针对依赖输血的β地中海贫血患者的基因治疗研究，使用了betibeglogene autotemcel (beti-cel; LentiGlobin for β-thalassemia)基因疗法。文章声称该疗法能够实现终身稳定产生功能性成人血红蛋白，从而达到无需输血和减少无效造血的目标。该研究追踪了32名患者长达6年的随访结果。</w:t>
      </w:r>
    </w:p>
    <w:p>
      <w:pPr>
        <w:jc w:val="both"/>
      </w:pPr>
      <w:r>
        <w:rPr/>
        <w:t xml:space="preserve"/>
      </w:r>
    </w:p>
    <w:p>
      <w:pPr>
        <w:jc w:val="both"/>
      </w:pPr>
      <w:r>
        <w:rPr/>
        <w:t xml:space="preserve">然而，这篇文章存在一些潜在的偏见和问题。首先，文章没有提及任何可能存在的风险或副作用。虽然作者声称在2年后没有发现与药物相关的不良事件，但并未提供详细信息或数据来支持这一说法。此外，文章没有探讨可能存在的长期安全性问题，并且没有平等地呈现双方观点。</w:t>
      </w:r>
    </w:p>
    <w:p>
      <w:pPr>
        <w:jc w:val="both"/>
      </w:pPr>
      <w:r>
        <w:rPr/>
        <w:t xml:space="preserve"/>
      </w:r>
    </w:p>
    <w:p>
      <w:pPr>
        <w:jc w:val="both"/>
      </w:pPr>
      <w:r>
        <w:rPr/>
        <w:t xml:space="preserve">其次，文章只报道了积极的结果，并未提及任何负面或失败的结果。这种片面报道可能导致读者对该治疗方法的真实效果和安全性产生误解。</w:t>
      </w:r>
    </w:p>
    <w:p>
      <w:pPr>
        <w:jc w:val="both"/>
      </w:pPr>
      <w:r>
        <w:rPr/>
        <w:t xml:space="preserve"/>
      </w:r>
    </w:p>
    <w:p>
      <w:pPr>
        <w:jc w:val="both"/>
      </w:pPr>
      <w:r>
        <w:rPr/>
        <w:t xml:space="preserve">此外，文章中还存在缺失的考虑点和证据不足之处。例如，在讨论治疗效果时，文章只提到了血红蛋白水平的变化，但并未提及其他重要的临床指标或患者生活质量的改善情况。这种不全面的报道可能导致读者对治疗效果和患者整体状况的理解不足。</w:t>
      </w:r>
    </w:p>
    <w:p>
      <w:pPr>
        <w:jc w:val="both"/>
      </w:pPr>
      <w:r>
        <w:rPr/>
        <w:t xml:space="preserve"/>
      </w:r>
    </w:p>
    <w:p>
      <w:pPr>
        <w:jc w:val="both"/>
      </w:pPr>
      <w:r>
        <w:rPr/>
        <w:t xml:space="preserve">最后，文章中存在宣传内容和偏袒之处。作者在讨论中使用了积极的措辞来描述治疗效果，并强调了该疗法的持久性和稳定性。然而，这种宣传性语言可能会误导读者，并使他们对该疗法过于乐观。</w:t>
      </w:r>
    </w:p>
    <w:p>
      <w:pPr>
        <w:jc w:val="both"/>
      </w:pPr>
      <w:r>
        <w:rPr/>
        <w:t xml:space="preserve"/>
      </w:r>
    </w:p>
    <w:p>
      <w:pPr>
        <w:jc w:val="both"/>
      </w:pPr>
      <w:r>
        <w:rPr/>
        <w:t xml:space="preserve">综上所述，这篇文章存在一些潜在的偏见和问题，包括片面报道、缺失考虑点、缺乏证据支持等。读者应该保持审慎，并寻找更全面和客观的信息来评估该基因治疗方法的真实效果和安全性。</w:t>
      </w:r>
    </w:p>
    <w:p>
      <w:pPr>
        <w:pStyle w:val="Heading1"/>
      </w:pPr>
      <w:bookmarkStart w:id="5" w:name="_Toc5"/>
      <w:r>
        <w:t>Topics for further research:</w:t>
      </w:r>
      <w:bookmarkEnd w:id="5"/>
    </w:p>
    <w:p>
      <w:pPr>
        <w:spacing w:after="0"/>
        <w:numPr>
          <w:ilvl w:val="0"/>
          <w:numId w:val="2"/>
        </w:numPr>
      </w:pPr>
      <w:r>
        <w:rPr/>
        <w:t xml:space="preserve">风险和副作用
</w:t>
      </w:r>
    </w:p>
    <w:p>
      <w:pPr>
        <w:spacing w:after="0"/>
        <w:numPr>
          <w:ilvl w:val="0"/>
          <w:numId w:val="2"/>
        </w:numPr>
      </w:pPr>
      <w:r>
        <w:rPr/>
        <w:t xml:space="preserve">长期安全性问题
</w:t>
      </w:r>
    </w:p>
    <w:p>
      <w:pPr>
        <w:spacing w:after="0"/>
        <w:numPr>
          <w:ilvl w:val="0"/>
          <w:numId w:val="2"/>
        </w:numPr>
      </w:pPr>
      <w:r>
        <w:rPr/>
        <w:t xml:space="preserve">负面或失败的结果
</w:t>
      </w:r>
    </w:p>
    <w:p>
      <w:pPr>
        <w:spacing w:after="0"/>
        <w:numPr>
          <w:ilvl w:val="0"/>
          <w:numId w:val="2"/>
        </w:numPr>
      </w:pPr>
      <w:r>
        <w:rPr/>
        <w:t xml:space="preserve">其他临床指标和生活质量改善
</w:t>
      </w:r>
    </w:p>
    <w:p>
      <w:pPr>
        <w:spacing w:after="0"/>
        <w:numPr>
          <w:ilvl w:val="0"/>
          <w:numId w:val="2"/>
        </w:numPr>
      </w:pPr>
      <w:r>
        <w:rPr/>
        <w:t xml:space="preserve">宣传性语言
</w:t>
      </w:r>
    </w:p>
    <w:p>
      <w:pPr>
        <w:numPr>
          <w:ilvl w:val="0"/>
          <w:numId w:val="2"/>
        </w:numPr>
      </w:pPr>
      <w:r>
        <w:rPr/>
        <w:t xml:space="preserve">更全面和客观的信息</w:t>
      </w:r>
    </w:p>
    <w:p>
      <w:pPr>
        <w:pStyle w:val="Heading1"/>
      </w:pPr>
      <w:bookmarkStart w:id="6" w:name="_Toc6"/>
      <w:r>
        <w:t>Report location:</w:t>
      </w:r>
      <w:bookmarkEnd w:id="6"/>
    </w:p>
    <w:p>
      <w:hyperlink r:id="rId8" w:history="1">
        <w:r>
          <w:rPr>
            <w:color w:val="2980b9"/>
            <w:u w:val="single"/>
          </w:rPr>
          <w:t xml:space="preserve">https://www.fullpicture.app/item/b9e65f41da9857368dfa05bc67401cab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17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hpublications.org/blood/article/136/Supplement%201/51/470077/Long-Term-Efficacy-and-Safety-of-Betibeglogene" TargetMode="External"/><Relationship Id="rId8" Type="http://schemas.openxmlformats.org/officeDocument/2006/relationships/hyperlink" Target="https://www.fullpicture.app/item/b9e65f41da9857368dfa05bc67401c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2024-04-19T00:45:19+02:00</dcterms:created>
  <dcterms:modified xsi:type="dcterms:W3CDTF">2024-04-19T00:45:19+02:00</dcterms:modified>
</cp:coreProperties>
</file>

<file path=docProps/custom.xml><?xml version="1.0" encoding="utf-8"?>
<Properties xmlns="http://schemas.openxmlformats.org/officeDocument/2006/custom-properties" xmlns:vt="http://schemas.openxmlformats.org/officeDocument/2006/docPropsVTypes"/>
</file>