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Income Inequality and Class Divides in Parental Investments - Daniel Schneider, Orestes P. Hastings, Joe LaBriola, 2018</w:t>
      </w:r>
      <w:br/>
      <w:hyperlink r:id="rId7" w:history="1">
        <w:r>
          <w:rPr>
            <w:color w:val="2980b9"/>
            <w:u w:val="single"/>
          </w:rPr>
          <w:t xml:space="preserve">https://journals-sagepub-com.libproxy1.nus.edu.sg/doi/full/10.1177/0003122418772034</w:t>
        </w:r>
      </w:hyperlink>
    </w:p>
    <w:p>
      <w:pPr>
        <w:pStyle w:val="Heading1"/>
      </w:pPr>
      <w:bookmarkStart w:id="2" w:name="_Toc2"/>
      <w:r>
        <w:t>Article summary:</w:t>
      </w:r>
      <w:bookmarkEnd w:id="2"/>
    </w:p>
    <w:p>
      <w:pPr>
        <w:jc w:val="both"/>
      </w:pPr>
      <w:r>
        <w:rPr/>
        <w:t xml:space="preserve">1. 美国家庭对孩子的投资存在阶级差距，尤其是在财务投资方面。这种差距可能会导致富裕家庭更容易将优势传递给下一代，从而加剧社会不公。</w:t>
      </w:r>
    </w:p>
    <w:p>
      <w:pPr>
        <w:jc w:val="both"/>
      </w:pPr>
      <w:r>
        <w:rPr/>
        <w:t xml:space="preserve"/>
      </w:r>
    </w:p>
    <w:p>
      <w:pPr>
        <w:jc w:val="both"/>
      </w:pPr>
      <w:r>
        <w:rPr/>
        <w:t xml:space="preserve">2. 研究发现，当州级收入不平等程度较高时，家庭之间的财务投资差距更大。这可能是因为高收入家庭有更多钱可以用于孩子的教育和培养。</w:t>
      </w:r>
    </w:p>
    <w:p>
      <w:pPr>
        <w:jc w:val="both"/>
      </w:pPr>
      <w:r>
        <w:rPr/>
        <w:t xml:space="preserve"/>
      </w:r>
    </w:p>
    <w:p>
      <w:pPr>
        <w:jc w:val="both"/>
      </w:pPr>
      <w:r>
        <w:rPr/>
        <w:t xml:space="preserve">3. 收入不平等程度对家长决策的影响可能与上下文有关。例如，当社会中存在较大的贫富差距时，父母可能更倾向于将资源用于财务投资而非时间投资。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偏见在于其过度关注了收入不平等和家长对孩子的金钱投资之间的关系，而忽略了其他可能影响家长投资行为的因素。例如，文章没有考虑到教育水平、种族、文化背景等因素对家长投资行为的影响。此外，文章也没有探讨收入不平等与家长时间投资之间的关系。</w:t>
      </w:r>
    </w:p>
    <w:p>
      <w:pPr>
        <w:jc w:val="both"/>
      </w:pPr>
      <w:r>
        <w:rPr/>
        <w:t xml:space="preserve"/>
      </w:r>
    </w:p>
    <w:p>
      <w:pPr>
        <w:jc w:val="both"/>
      </w:pPr>
      <w:r>
        <w:rPr/>
        <w:t xml:space="preserve">另一个问题是，文章提出了一些假设和猜测，并未提供足够的证据来支持这些假设。例如，文章认为收入不平等会改变家长对金钱投资和时间投资的偏好，但并未提供充分证据来支持这一观点。</w:t>
      </w:r>
    </w:p>
    <w:p>
      <w:pPr>
        <w:jc w:val="both"/>
      </w:pPr>
      <w:r>
        <w:rPr/>
        <w:t xml:space="preserve"/>
      </w:r>
    </w:p>
    <w:p>
      <w:pPr>
        <w:jc w:val="both"/>
      </w:pPr>
      <w:r>
        <w:rPr/>
        <w:t xml:space="preserve">此外，该文章还存在宣传内容和片面报道的问题。作者强调了收入不平等与家长金钱投资之间的关系，并将其视为社会公正和机会均等问题的重要方面。然而，在讨论这个问题时，作者没有充分考虑到可能存在其他因素导致社会不公和机会不均等。</w:t>
      </w:r>
    </w:p>
    <w:p>
      <w:pPr>
        <w:jc w:val="both"/>
      </w:pPr>
      <w:r>
        <w:rPr/>
        <w:t xml:space="preserve"/>
      </w:r>
    </w:p>
    <w:p>
      <w:pPr>
        <w:jc w:val="both"/>
      </w:pPr>
      <w:r>
        <w:rPr/>
        <w:t xml:space="preserve">最后，该文章缺乏反驳和风险评估。作者没有探讨可能存在反向因果关系或其他解释收入不平等与家长金钱投资之间关系的因素。此外，作者也没有考虑到可能存在负面影响或风险，例如过度依赖金钱投资可能导致孩子缺乏自主性和创造力。</w:t>
      </w:r>
    </w:p>
    <w:p>
      <w:pPr>
        <w:jc w:val="both"/>
      </w:pPr>
      <w:r>
        <w:rPr/>
        <w:t xml:space="preserve"/>
      </w:r>
    </w:p>
    <w:p>
      <w:pPr>
        <w:jc w:val="both"/>
      </w:pPr>
      <w:r>
        <w:rPr/>
        <w:t xml:space="preserve">总体而言，该文章有一定价值，但需要更全面地考虑各种因素，并提供更多证据来支持其观点。</w:t>
      </w:r>
    </w:p>
    <w:p>
      <w:pPr>
        <w:pStyle w:val="Heading1"/>
      </w:pPr>
      <w:bookmarkStart w:id="5" w:name="_Toc5"/>
      <w:r>
        <w:t>Topics for further research:</w:t>
      </w:r>
      <w:bookmarkEnd w:id="5"/>
    </w:p>
    <w:p>
      <w:pPr>
        <w:spacing w:after="0"/>
        <w:numPr>
          <w:ilvl w:val="0"/>
          <w:numId w:val="2"/>
        </w:numPr>
      </w:pPr>
      <w:r>
        <w:rPr/>
        <w:t xml:space="preserve">Other factors influencing parental investment behavior
</w:t>
      </w:r>
    </w:p>
    <w:p>
      <w:pPr>
        <w:spacing w:after="0"/>
        <w:numPr>
          <w:ilvl w:val="0"/>
          <w:numId w:val="2"/>
        </w:numPr>
      </w:pPr>
      <w:r>
        <w:rPr/>
        <w:t xml:space="preserve">Impact of education level</w:t>
      </w:r>
    </w:p>
    <w:p>
      <w:pPr>
        <w:spacing w:after="0"/>
        <w:numPr>
          <w:ilvl w:val="0"/>
          <w:numId w:val="2"/>
        </w:numPr>
      </w:pPr>
      <w:r>
        <w:rPr/>
        <w:t xml:space="preserve">race</w:t>
      </w:r>
    </w:p>
    <w:p>
      <w:pPr>
        <w:spacing w:after="0"/>
        <w:numPr>
          <w:ilvl w:val="0"/>
          <w:numId w:val="2"/>
        </w:numPr>
      </w:pPr>
      <w:r>
        <w:rPr/>
        <w:t xml:space="preserve">and cultural background
</w:t>
      </w:r>
    </w:p>
    <w:p>
      <w:pPr>
        <w:spacing w:after="0"/>
        <w:numPr>
          <w:ilvl w:val="0"/>
          <w:numId w:val="2"/>
        </w:numPr>
      </w:pPr>
      <w:r>
        <w:rPr/>
        <w:t xml:space="preserve">Relationship between income inequality and parental time investment
</w:t>
      </w:r>
    </w:p>
    <w:p>
      <w:pPr>
        <w:spacing w:after="0"/>
        <w:numPr>
          <w:ilvl w:val="0"/>
          <w:numId w:val="2"/>
        </w:numPr>
      </w:pPr>
      <w:r>
        <w:rPr/>
        <w:t xml:space="preserve">Lack of evidence supporting assumptions and speculations
</w:t>
      </w:r>
    </w:p>
    <w:p>
      <w:pPr>
        <w:spacing w:after="0"/>
        <w:numPr>
          <w:ilvl w:val="0"/>
          <w:numId w:val="2"/>
        </w:numPr>
      </w:pPr>
      <w:r>
        <w:rPr/>
        <w:t xml:space="preserve">Promotion and one-sided reporting issues
</w:t>
      </w:r>
    </w:p>
    <w:p>
      <w:pPr>
        <w:numPr>
          <w:ilvl w:val="0"/>
          <w:numId w:val="2"/>
        </w:numPr>
      </w:pPr>
      <w:r>
        <w:rPr/>
        <w:t xml:space="preserve">Lack of counterarguments and risk assessment</w:t>
      </w:r>
    </w:p>
    <w:p>
      <w:pPr>
        <w:pStyle w:val="Heading1"/>
      </w:pPr>
      <w:bookmarkStart w:id="6" w:name="_Toc6"/>
      <w:r>
        <w:t>Report location:</w:t>
      </w:r>
      <w:bookmarkEnd w:id="6"/>
    </w:p>
    <w:p>
      <w:hyperlink r:id="rId8" w:history="1">
        <w:r>
          <w:rPr>
            <w:color w:val="2980b9"/>
            <w:u w:val="single"/>
          </w:rPr>
          <w:t xml:space="preserve">https://www.fullpicture.app/item/ba19ecdc43aef1df97c9ea233cecaf7d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9A8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libproxy1.nus.edu.sg/doi/full/10.1177/0003122418772034" TargetMode="External"/><Relationship Id="rId8" Type="http://schemas.openxmlformats.org/officeDocument/2006/relationships/hyperlink" Target="https://www.fullpicture.app/item/ba19ecdc43aef1df97c9ea233cecaf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2023-12-05T11:13:56+01:00</dcterms:created>
  <dcterms:modified xsi:type="dcterms:W3CDTF">2023-12-05T11:13:56+01:00</dcterms:modified>
</cp:coreProperties>
</file>

<file path=docProps/custom.xml><?xml version="1.0" encoding="utf-8"?>
<Properties xmlns="http://schemas.openxmlformats.org/officeDocument/2006/custom-properties" xmlns:vt="http://schemas.openxmlformats.org/officeDocument/2006/docPropsVTypes"/>
</file>