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giant cuboctahedron based on imidazolium-terpyridine spacer - ScienceDirect</w:t>
      </w:r>
      <w:br/>
      <w:hyperlink r:id="rId7" w:history="1">
        <w:r>
          <w:rPr>
            <w:color w:val="2980b9"/>
            <w:u w:val="single"/>
          </w:rPr>
          <w:t xml:space="preserve">https://www.sciencedirect.com/science/article/pii/S2666386422002685</w:t>
        </w:r>
      </w:hyperlink>
    </w:p>
    <w:p>
      <w:pPr>
        <w:pStyle w:val="Heading1"/>
      </w:pPr>
      <w:bookmarkStart w:id="2" w:name="_Toc2"/>
      <w:r>
        <w:t>Article summary:</w:t>
      </w:r>
      <w:bookmarkEnd w:id="2"/>
    </w:p>
    <w:p>
      <w:pPr>
        <w:jc w:val="both"/>
      </w:pPr>
      <w:r>
        <w:rPr/>
        <w:t xml:space="preserve">1. A giant cuboctahedron-shaped supramolecular cage has been developed using coordination-driven self-assembly.</w:t>
      </w:r>
    </w:p>
    <w:p>
      <w:pPr>
        <w:jc w:val="both"/>
      </w:pPr>
      <w:r>
        <w:rPr/>
        <w:t xml:space="preserve">2. The cage is composed of 12 ligands, 24 Zn2+ ions, and 60 or 72 anions, with a diameter of 7.3 nm.</w:t>
      </w:r>
    </w:p>
    <w:p>
      <w:pPr>
        <w:jc w:val="both"/>
      </w:pPr>
      <w:r>
        <w:rPr/>
        <w:t xml:space="preserve">3. The cage can be endo-/exo-functionalized and undergoes a reversible pH-controlled ring closure and opening reaction, making it suitable for applications in enzyme-mimetic catalysis, host-guest chemistry, and drug delivery.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the development of a giant cuboctahedron-shaped supramolecular cage using coordination-driven self-assembly. The authors provide evidence for their claims through the use of NMR, ESI-TWIM-MS, gMS2, Cryo-EM, and synchrotron X-ray diffraction techniques to characterize the compounds unambiguously. Furthermore, they discuss potential applications for the cages in enzyme mimetic catalysis, host guest chemistry and drug delivery. </w:t>
      </w:r>
    </w:p>
    <w:p>
      <w:pPr>
        <w:jc w:val="both"/>
      </w:pPr>
      <w:r>
        <w:rPr/>
        <w:t xml:space="preserve">The article is generally reliable as it provides evidence to support its claims and discusses potential applications for the cages in detail. However, there are some points that could be further explored such as possible risks associated with using these cages in drug delivery or other applications as well as any potential limitations or drawbacks associated with them. Additionally, while the authors discuss potential applications for the cages in detail they do not explore any counterarguments or alternative solutions that may exist which could have provided more balanced coverage of this topic.</w:t>
      </w:r>
    </w:p>
    <w:p>
      <w:pPr>
        <w:pStyle w:val="Heading1"/>
      </w:pPr>
      <w:bookmarkStart w:id="5" w:name="_Toc5"/>
      <w:r>
        <w:t>Topics for further research:</w:t>
      </w:r>
      <w:bookmarkEnd w:id="5"/>
    </w:p>
    <w:p>
      <w:pPr>
        <w:spacing w:after="0"/>
        <w:numPr>
          <w:ilvl w:val="0"/>
          <w:numId w:val="2"/>
        </w:numPr>
      </w:pPr>
      <w:r>
        <w:rPr/>
        <w:t xml:space="preserve">Drug delivery risks</w:t>
      </w:r>
    </w:p>
    <w:p>
      <w:pPr>
        <w:spacing w:after="0"/>
        <w:numPr>
          <w:ilvl w:val="0"/>
          <w:numId w:val="2"/>
        </w:numPr>
      </w:pPr>
      <w:r>
        <w:rPr/>
        <w:t xml:space="preserve">Enzyme mimetic catalysis limitations</w:t>
      </w:r>
    </w:p>
    <w:p>
      <w:pPr>
        <w:spacing w:after="0"/>
        <w:numPr>
          <w:ilvl w:val="0"/>
          <w:numId w:val="2"/>
        </w:numPr>
      </w:pPr>
      <w:r>
        <w:rPr/>
        <w:t xml:space="preserve">Supramolecular cage drawbacks</w:t>
      </w:r>
    </w:p>
    <w:p>
      <w:pPr>
        <w:spacing w:after="0"/>
        <w:numPr>
          <w:ilvl w:val="0"/>
          <w:numId w:val="2"/>
        </w:numPr>
      </w:pPr>
      <w:r>
        <w:rPr/>
        <w:t xml:space="preserve">Host guest chemistry risks</w:t>
      </w:r>
    </w:p>
    <w:p>
      <w:pPr>
        <w:spacing w:after="0"/>
        <w:numPr>
          <w:ilvl w:val="0"/>
          <w:numId w:val="2"/>
        </w:numPr>
      </w:pPr>
      <w:r>
        <w:rPr/>
        <w:t xml:space="preserve">Alternative solutions for drug delivery</w:t>
      </w:r>
    </w:p>
    <w:p>
      <w:pPr>
        <w:numPr>
          <w:ilvl w:val="0"/>
          <w:numId w:val="2"/>
        </w:numPr>
      </w:pPr>
      <w:r>
        <w:rPr/>
        <w:t xml:space="preserve">Counterarguments for supramolecular cages</w:t>
      </w:r>
    </w:p>
    <w:p>
      <w:pPr>
        <w:pStyle w:val="Heading1"/>
      </w:pPr>
      <w:bookmarkStart w:id="6" w:name="_Toc6"/>
      <w:r>
        <w:t>Report location:</w:t>
      </w:r>
      <w:bookmarkEnd w:id="6"/>
    </w:p>
    <w:p>
      <w:hyperlink r:id="rId8" w:history="1">
        <w:r>
          <w:rPr>
            <w:color w:val="2980b9"/>
            <w:u w:val="single"/>
          </w:rPr>
          <w:t xml:space="preserve">https://www.fullpicture.app/item/ba445620580573cdf7ce918dd003d7da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15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86422002685" TargetMode="External"/><Relationship Id="rId8" Type="http://schemas.openxmlformats.org/officeDocument/2006/relationships/hyperlink" Target="https://www.fullpicture.app/item/ba445620580573cdf7ce918dd003d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2023-03-09T11:51:28+01:00</dcterms:created>
  <dcterms:modified xsi:type="dcterms:W3CDTF">2023-03-09T11:51:28+01:00</dcterms:modified>
</cp:coreProperties>
</file>

<file path=docProps/custom.xml><?xml version="1.0" encoding="utf-8"?>
<Properties xmlns="http://schemas.openxmlformats.org/officeDocument/2006/custom-properties" xmlns:vt="http://schemas.openxmlformats.org/officeDocument/2006/docPropsVTypes"/>
</file>