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dilution impact of daily fund flows on open-end mutual funds - ScienceDirect</w:t>
      </w:r>
      <w:br/>
      <w:hyperlink r:id="rId7" w:history="1">
        <w:r>
          <w:rPr>
            <w:color w:val="2980b9"/>
            <w:u w:val="single"/>
          </w:rPr>
          <w:t xml:space="preserve">https://vpn.jlu.edu.cn/https/44696469646131313237446964696461bd6feb2610cba212c258e268de7790f17702c29fe5/science/article/pii/S0304405X0200137X?via%3Dihub=</w:t>
        </w:r>
      </w:hyperlink>
    </w:p>
    <w:p>
      <w:pPr>
        <w:pStyle w:val="Heading1"/>
      </w:pPr>
      <w:bookmarkStart w:id="2" w:name="_Toc2"/>
      <w:r>
        <w:t>Article summary:</w:t>
      </w:r>
      <w:bookmarkEnd w:id="2"/>
    </w:p>
    <w:p>
      <w:pPr>
        <w:jc w:val="both"/>
      </w:pPr>
      <w:r>
        <w:rPr/>
        <w:t xml:space="preserve">1. 该论文研究了日常基金流动对开放式共同基金的稀释影响。活跃的共同基金交易者通过买卖基金份额给基金带来成本，这些成本由被动股东承担。短期现金流入会导致资产回报的稀释效应，而长期现金流入可以快速投资于风险资产以捕捉长期回报。</w:t>
      </w:r>
    </w:p>
    <w:p>
      <w:pPr>
        <w:jc w:val="both"/>
      </w:pPr>
      <w:r>
        <w:rPr/>
        <w:t xml:space="preserve">2. 先前的研究表明，活跃交易者可以利用过时价格获得异常回报，并且国际共同基金中存在市场定时策略。本论文首次证明了交易者似乎采用这种策略，并且他们的净基金流动对共同基金回报产生了显著负面影响。</w:t>
      </w:r>
    </w:p>
    <w:p>
      <w:pPr>
        <w:jc w:val="both"/>
      </w:pPr>
      <w:r>
        <w:rPr/>
        <w:t xml:space="preserve">3. 基金流动不仅会对共同基金的稀释效应产生影响，还会影响其他直接和间接成本，如处理费用、增加的现金持有和交易成本。此外，日常基金流动与长期流动不同，能够预测随后一天的回报，并且国际基金中的日常流动似乎能够预测随后一天的回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潜在的偏见。首先，文章似乎假设了所有主动交易者都会对基金产生负面影响，将被动股东的利益转移到主动交易者身上。然而，这种假设可能过于简化，并没有考虑到一些主动交易者可能为基金带来正面效应。其次，文章只关注了国际基金的情况，并未对国内股票和债券基金进行类似的分析，这可能导致对整个市场情况的片面报道。</w:t>
      </w:r>
    </w:p>
    <w:p>
      <w:pPr>
        <w:jc w:val="both"/>
      </w:pPr>
      <w:r>
        <w:rPr/>
        <w:t xml:space="preserve"/>
      </w:r>
    </w:p>
    <w:p>
      <w:pPr>
        <w:jc w:val="both"/>
      </w:pPr>
      <w:r>
        <w:rPr/>
        <w:t xml:space="preserve">2. 缺失的考虑点：文章没有充分考虑到其他因素对基金回报率的影响。例如，它没有探讨市场波动、经济环境变化等因素如何影响基金回报率。此外，文章也没有考虑到投资者行为和心理因素对基金流动性和回报率的影响。</w:t>
      </w:r>
    </w:p>
    <w:p>
      <w:pPr>
        <w:jc w:val="both"/>
      </w:pPr>
      <w:r>
        <w:rPr/>
        <w:t xml:space="preserve"/>
      </w:r>
    </w:p>
    <w:p>
      <w:pPr>
        <w:jc w:val="both"/>
      </w:pPr>
      <w:r>
        <w:rPr/>
        <w:t xml:space="preserve">3. 无根据的主张：文章声称日常资金流量会导致基金回报率的稀释效应，但并未提供足够的证据来支持这一观点。它只是通过一些早期研究结果来支持这个主张，并未进行更深入的实证研究。</w:t>
      </w:r>
    </w:p>
    <w:p>
      <w:pPr>
        <w:jc w:val="both"/>
      </w:pPr>
      <w:r>
        <w:rPr/>
        <w:t xml:space="preserve"/>
      </w:r>
    </w:p>
    <w:p>
      <w:pPr>
        <w:jc w:val="both"/>
      </w:pPr>
      <w:r>
        <w:rPr/>
        <w:t xml:space="preserve">4. 未探索的反驳：文章没有探讨可能与其主张相矛盾的观点。例如，它没有考虑到一些主动交易者可能通过有效的市场定价和信息获取来提高基金回报率的可能性。</w:t>
      </w:r>
    </w:p>
    <w:p>
      <w:pPr>
        <w:jc w:val="both"/>
      </w:pPr>
      <w:r>
        <w:rPr/>
        <w:t xml:space="preserve"/>
      </w:r>
    </w:p>
    <w:p>
      <w:pPr>
        <w:jc w:val="both"/>
      </w:pPr>
      <w:r>
        <w:rPr/>
        <w:t xml:space="preserve">5. 宣传内容和偏袒：文章似乎倾向于支持被动股东的利益，并将主动交易者描绘为对基金产生负面影响的因素。这种偏袒可能导致对整个问题的不公正呈现。</w:t>
      </w:r>
    </w:p>
    <w:p>
      <w:pPr>
        <w:jc w:val="both"/>
      </w:pPr>
      <w:r>
        <w:rPr/>
        <w:t xml:space="preserve"/>
      </w:r>
    </w:p>
    <w:p>
      <w:pPr>
        <w:jc w:val="both"/>
      </w:pPr>
      <w:r>
        <w:rPr/>
        <w:t xml:space="preserve">6. 风险意识不足：文章没有充分注意到可能存在的风险。例如，它没有讨论基金流动性不足时可能导致的问题，以及投资者在大规模赎回时可能面临的困境。</w:t>
      </w:r>
    </w:p>
    <w:p>
      <w:pPr>
        <w:jc w:val="both"/>
      </w:pPr>
      <w:r>
        <w:rPr/>
        <w:t xml:space="preserve"/>
      </w:r>
    </w:p>
    <w:p>
      <w:pPr>
        <w:jc w:val="both"/>
      </w:pPr>
      <w:r>
        <w:rPr/>
        <w:t xml:space="preserve">总体而言，上述文章存在一些潜在偏见和片面报道，并未提供充分证据来支持其主张。此外，它也忽略了其他因素对基金回报率的影响，并未平等地呈现双方观点。因此，在评估该文章时需要保持批判性思维并考虑其他相关因素。</w:t>
      </w:r>
    </w:p>
    <w:p>
      <w:pPr>
        <w:pStyle w:val="Heading1"/>
      </w:pPr>
      <w:bookmarkStart w:id="5" w:name="_Toc5"/>
      <w:r>
        <w:t>Topics for further research:</w:t>
      </w:r>
      <w:bookmarkEnd w:id="5"/>
    </w:p>
    <w:p>
      <w:pPr>
        <w:spacing w:after="0"/>
        <w:numPr>
          <w:ilvl w:val="0"/>
          <w:numId w:val="2"/>
        </w:numPr>
      </w:pPr>
      <w:r>
        <w:rPr/>
        <w:t xml:space="preserve">主动交易者对基金的正面影响
</w:t>
      </w:r>
    </w:p>
    <w:p>
      <w:pPr>
        <w:spacing w:after="0"/>
        <w:numPr>
          <w:ilvl w:val="0"/>
          <w:numId w:val="2"/>
        </w:numPr>
      </w:pPr>
      <w:r>
        <w:rPr/>
        <w:t xml:space="preserve">国内股票和债券基金的情况
</w:t>
      </w:r>
    </w:p>
    <w:p>
      <w:pPr>
        <w:spacing w:after="0"/>
        <w:numPr>
          <w:ilvl w:val="0"/>
          <w:numId w:val="2"/>
        </w:numPr>
      </w:pPr>
      <w:r>
        <w:rPr/>
        <w:t xml:space="preserve">市场波动和经济环境对基金回报率的影响
</w:t>
      </w:r>
    </w:p>
    <w:p>
      <w:pPr>
        <w:spacing w:after="0"/>
        <w:numPr>
          <w:ilvl w:val="0"/>
          <w:numId w:val="2"/>
        </w:numPr>
      </w:pPr>
      <w:r>
        <w:rPr/>
        <w:t xml:space="preserve">投资者行为和心理因素对基金流动性和回报率的影响
</w:t>
      </w:r>
    </w:p>
    <w:p>
      <w:pPr>
        <w:spacing w:after="0"/>
        <w:numPr>
          <w:ilvl w:val="0"/>
          <w:numId w:val="2"/>
        </w:numPr>
      </w:pPr>
      <w:r>
        <w:rPr/>
        <w:t xml:space="preserve">基金回报率的稀释效应的证据
</w:t>
      </w:r>
    </w:p>
    <w:p>
      <w:pPr>
        <w:numPr>
          <w:ilvl w:val="0"/>
          <w:numId w:val="2"/>
        </w:numPr>
      </w:pPr>
      <w:r>
        <w:rPr/>
        <w:t xml:space="preserve">主动交易者通过有效的市场定价和信息获取提高基金回报率的可能性</w:t>
      </w:r>
    </w:p>
    <w:p>
      <w:pPr>
        <w:pStyle w:val="Heading1"/>
      </w:pPr>
      <w:bookmarkStart w:id="6" w:name="_Toc6"/>
      <w:r>
        <w:t>Report location:</w:t>
      </w:r>
      <w:bookmarkEnd w:id="6"/>
    </w:p>
    <w:p>
      <w:hyperlink r:id="rId8" w:history="1">
        <w:r>
          <w:rPr>
            <w:color w:val="2980b9"/>
            <w:u w:val="single"/>
          </w:rPr>
          <w:t xml:space="preserve">https://www.fullpicture.app/item/bb03d3cec546139b1a64f6cdf70042fb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0BE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04405X0200137X?via%3Dihub=" TargetMode="External"/><Relationship Id="rId8" Type="http://schemas.openxmlformats.org/officeDocument/2006/relationships/hyperlink" Target="https://www.fullpicture.app/item/bb03d3cec546139b1a64f6cdf70042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2024-01-11T16:46:40+01:00</dcterms:created>
  <dcterms:modified xsi:type="dcterms:W3CDTF">2024-01-11T16:46:40+01:00</dcterms:modified>
</cp:coreProperties>
</file>

<file path=docProps/custom.xml><?xml version="1.0" encoding="utf-8"?>
<Properties xmlns="http://schemas.openxmlformats.org/officeDocument/2006/custom-properties" xmlns:vt="http://schemas.openxmlformats.org/officeDocument/2006/docPropsVTypes"/>
</file>