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 Flows and Asset Valuations of Bond Mutual Funds: Effect of Side-by-Side Management - ScienceDirect</w:t>
      </w:r>
      <w:br/>
      <w:hyperlink r:id="rId7" w:history="1">
        <w:r>
          <w:rPr>
            <w:color w:val="2980b9"/>
            <w:u w:val="single"/>
          </w:rPr>
          <w:t xml:space="preserve">https://vpn.jlu.edu.cn/https/44696469646131313237446964696461bd6feb2610cba212c258e268de7790f17702c29fe5/science/article/pii/S0378426623001607</w:t>
        </w:r>
      </w:hyperlink>
    </w:p>
    <w:p>
      <w:pPr>
        <w:pStyle w:val="Heading1"/>
      </w:pPr>
      <w:bookmarkStart w:id="2" w:name="_Toc2"/>
      <w:r>
        <w:t>Article summary:</w:t>
      </w:r>
      <w:bookmarkEnd w:id="2"/>
    </w:p>
    <w:p>
      <w:pPr>
        <w:jc w:val="both"/>
      </w:pPr>
      <w:r>
        <w:rPr/>
        <w:t xml:space="preserve">1. Investment advisory firms that manage different types of investment products, such as mutual funds and hedge funds, may face conflicts of interest due to differences in fee structures. This can lead to the transfer of profits from mutual funds to hedge funds, resulting in underperformance of mutual funds.</w:t>
      </w:r>
    </w:p>
    <w:p>
      <w:pPr>
        <w:jc w:val="both"/>
      </w:pPr>
      <w:r>
        <w:rPr/>
        <w:t xml:space="preserve">2. The Securities and Exchange Commission recognizes the potential harm to mutual fund investors caused by side-by-side management of mutual funds and hedge funds.</w:t>
      </w:r>
    </w:p>
    <w:p>
      <w:pPr>
        <w:jc w:val="both"/>
      </w:pPr>
      <w:r>
        <w:rPr/>
        <w:t xml:space="preserve">3. The study investigates whether investors and advisors understand the conflict of interest associated with side-by-side management. It finds that investors invest less in underperforming side-by-side managed funds, indicating their awareness of the conflict. Additionally, advisors overstate the fair valuations of their holdings in an effort to reduce fund outflows, particularly for underperforming funds with no redemption fees or rear-load restrictions and less liquid bond holdings.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于投资顾问公司同时管理不同类型投资产品的行为进行了负面揣测，并将其归因为利益冲突。然而，文章没有提供充分的证据来支持这一观点，也没有考虑到可能存在其他合理的解释。</w:t>
      </w:r>
    </w:p>
    <w:p>
      <w:pPr>
        <w:jc w:val="both"/>
      </w:pPr>
      <w:r>
        <w:rPr/>
        <w:t xml:space="preserve"/>
      </w:r>
    </w:p>
    <w:p>
      <w:pPr>
        <w:jc w:val="both"/>
      </w:pPr>
      <w:r>
        <w:rPr/>
        <w:t xml:space="preserve">2. 片面报道：文章只关注了SBS基金相对于非SBS基金的表现差异，并将其归因为利益冲突。然而，这种比较并不能完全说明问题，因为还有其他因素可能影响基金的表现，如市场环境、投资策略等。文章没有提供对这些因素进行控制或讨论的信息。</w:t>
      </w:r>
    </w:p>
    <w:p>
      <w:pPr>
        <w:jc w:val="both"/>
      </w:pPr>
      <w:r>
        <w:rPr/>
        <w:t xml:space="preserve"/>
      </w:r>
    </w:p>
    <w:p>
      <w:pPr>
        <w:jc w:val="both"/>
      </w:pPr>
      <w:r>
        <w:rPr/>
        <w:t xml:space="preserve">3. 无根据的主张：文章声称客户投资者和投资顾问都应该意识到SBS基金存在利益冲突，并以此作为研究假设。然而，文章没有提供任何数据或调查结果来支持这一主张，仅仅是基于作者自己的推测。</w:t>
      </w:r>
    </w:p>
    <w:p>
      <w:pPr>
        <w:jc w:val="both"/>
      </w:pPr>
      <w:r>
        <w:rPr/>
        <w:t xml:space="preserve"/>
      </w:r>
    </w:p>
    <w:p>
      <w:pPr>
        <w:jc w:val="both"/>
      </w:pPr>
      <w:r>
        <w:rPr/>
        <w:t xml:space="preserve">4. 缺失的考虑点：文章没有考虑到投资顾问公司同时管理不同类型投资产品可能带来的优势和效率提升。例如，共同管理不同类型产品可以实现资源共享和经济规模效应，从而提高研究质量和运营效率。这些因素可能会抵消利益冲突带来的潜在问题。</w:t>
      </w:r>
    </w:p>
    <w:p>
      <w:pPr>
        <w:jc w:val="both"/>
      </w:pPr>
      <w:r>
        <w:rPr/>
        <w:t xml:space="preserve"/>
      </w:r>
    </w:p>
    <w:p>
      <w:pPr>
        <w:jc w:val="both"/>
      </w:pPr>
      <w:r>
        <w:rPr/>
        <w:t xml:space="preserve">5. 所提出主张的缺失证据：文章声称SBS基金的资金流入较低，并且投资顾问对基金资产的公允价值进行了夸大。然而，文章没有提供足够的数据或分析来支持这些主张，也没有探讨其他可能解释这些现象的因素。</w:t>
      </w:r>
    </w:p>
    <w:p>
      <w:pPr>
        <w:jc w:val="both"/>
      </w:pPr>
      <w:r>
        <w:rPr/>
        <w:t xml:space="preserve"/>
      </w:r>
    </w:p>
    <w:p>
      <w:pPr>
        <w:jc w:val="both"/>
      </w:pPr>
      <w:r>
        <w:rPr/>
        <w:t xml:space="preserve">6. 未探索的反驳：文章没有探讨可能存在的其他解释或反驳观点。例如，SBS基金表现较差可能是由于投资策略、市场环境等因素导致，并非仅仅是利益冲突所致。文章应该对这些可能性进行更全面和客观的讨论。</w:t>
      </w:r>
    </w:p>
    <w:p>
      <w:pPr>
        <w:jc w:val="both"/>
      </w:pPr>
      <w:r>
        <w:rPr/>
        <w:t xml:space="preserve"/>
      </w:r>
    </w:p>
    <w:p>
      <w:pPr>
        <w:jc w:val="both"/>
      </w:pPr>
      <w:r>
        <w:rPr/>
        <w:t xml:space="preserve">7. 宣传内容和偏袒：文章中存在一定程度上的宣传内容和偏袒。作者倾向于将SBS基金视为有利益冲突并且表现较差，而忽视了其他可能解释和正面结果。这种偏袒会影响读者对问题的理解和判断。</w:t>
      </w:r>
    </w:p>
    <w:p>
      <w:pPr>
        <w:jc w:val="both"/>
      </w:pPr>
      <w:r>
        <w:rPr/>
        <w:t xml:space="preserve"/>
      </w:r>
    </w:p>
    <w:p>
      <w:pPr>
        <w:jc w:val="both"/>
      </w:pPr>
      <w:r>
        <w:rPr/>
        <w:t xml:space="preserve">8. 是否注意到可能的风险：文章没有充分关注投资顾问公司同时管理不同类型投资产品可能带来的风险。例如，如果投资顾问公司没有适当的风险控制和监管机制，可能会导致利益冲突和不当行为。文章应该对这些潜在风险进行更深入的讨论。</w:t>
      </w:r>
    </w:p>
    <w:p>
      <w:pPr>
        <w:jc w:val="both"/>
      </w:pPr>
      <w:r>
        <w:rPr/>
        <w:t xml:space="preserve"/>
      </w:r>
    </w:p>
    <w:p>
      <w:pPr>
        <w:jc w:val="both"/>
      </w:pPr>
      <w:r>
        <w:rPr/>
        <w:t xml:space="preserve">9. 没有平等地呈现双方：文章没有平等地呈现投资顾问公司和客户投资者之间的观点和利益。它更倾向于将投资顾问公司描绘为有利益冲突并且不诚实的一方，而将客户投资者描绘为被动受害者。这种偏见会影响读者对问题的理解和判断。</w:t>
      </w:r>
    </w:p>
    <w:p>
      <w:pPr>
        <w:jc w:val="both"/>
      </w:pPr>
      <w:r>
        <w:rPr/>
        <w:t xml:space="preserve"/>
      </w:r>
    </w:p>
    <w:p>
      <w:pPr>
        <w:jc w:val="both"/>
      </w:pPr>
      <w:r>
        <w:rPr/>
        <w:t xml:space="preserve">总体而言，上述文章存在一些潜在的偏见和片面报道，并且缺乏充分的证据来支持其主张。它没有全面考虑到其他可能解释和因素，并且忽视了投资顾问公司同时管理不同类型投资产品可能带来的优势和效率提升。此外，文章也没有充分关注潜在的风险，并且没有平等地呈现双方的观点和利益。因此，读者应该对这篇文章持有审慎态度，并进一步研究和了解相关问题。</w:t>
      </w:r>
    </w:p>
    <w:p>
      <w:pPr>
        <w:pStyle w:val="Heading1"/>
      </w:pPr>
      <w:bookmarkStart w:id="5" w:name="_Toc5"/>
      <w:r>
        <w:t>Topics for further research:</w:t>
      </w:r>
      <w:bookmarkEnd w:id="5"/>
    </w:p>
    <w:p>
      <w:pPr>
        <w:spacing w:after="0"/>
        <w:numPr>
          <w:ilvl w:val="0"/>
          <w:numId w:val="2"/>
        </w:numPr>
      </w:pPr>
      <w:r>
        <w:rPr/>
        <w:t xml:space="preserve">投资顾问公司同时管理不同类型投资产品的优势和效率提升
</w:t>
      </w:r>
    </w:p>
    <w:p>
      <w:pPr>
        <w:spacing w:after="0"/>
        <w:numPr>
          <w:ilvl w:val="0"/>
          <w:numId w:val="2"/>
        </w:numPr>
      </w:pPr>
      <w:r>
        <w:rPr/>
        <w:t xml:space="preserve">SBS基金表现较差的其他可能解释和因素
</w:t>
      </w:r>
    </w:p>
    <w:p>
      <w:pPr>
        <w:spacing w:after="0"/>
        <w:numPr>
          <w:ilvl w:val="0"/>
          <w:numId w:val="2"/>
        </w:numPr>
      </w:pPr>
      <w:r>
        <w:rPr/>
        <w:t xml:space="preserve">投资顾问公司同时管理不同类型投资产品的风险和监管机制
</w:t>
      </w:r>
    </w:p>
    <w:p>
      <w:pPr>
        <w:spacing w:after="0"/>
        <w:numPr>
          <w:ilvl w:val="0"/>
          <w:numId w:val="2"/>
        </w:numPr>
      </w:pPr>
      <w:r>
        <w:rPr/>
        <w:t xml:space="preserve">客户投资者对于SBS基金存在利益冲突的认知和态度
</w:t>
      </w:r>
    </w:p>
    <w:p>
      <w:pPr>
        <w:spacing w:after="0"/>
        <w:numPr>
          <w:ilvl w:val="0"/>
          <w:numId w:val="2"/>
        </w:numPr>
      </w:pPr>
      <w:r>
        <w:rPr/>
        <w:t xml:space="preserve">SBS基金资金流入较低和投资顾问对基金资产公允价值的夸大的证据和解释
</w:t>
      </w:r>
    </w:p>
    <w:p>
      <w:pPr>
        <w:numPr>
          <w:ilvl w:val="0"/>
          <w:numId w:val="2"/>
        </w:numPr>
      </w:pPr>
      <w:r>
        <w:rPr/>
        <w:t xml:space="preserve">投资顾问公司和客户投资者之间的观点和利益的平等呈现</w:t>
      </w:r>
    </w:p>
    <w:p>
      <w:pPr>
        <w:pStyle w:val="Heading1"/>
      </w:pPr>
      <w:bookmarkStart w:id="6" w:name="_Toc6"/>
      <w:r>
        <w:t>Report location:</w:t>
      </w:r>
      <w:bookmarkEnd w:id="6"/>
    </w:p>
    <w:p>
      <w:hyperlink r:id="rId8" w:history="1">
        <w:r>
          <w:rPr>
            <w:color w:val="2980b9"/>
            <w:u w:val="single"/>
          </w:rPr>
          <w:t xml:space="preserve">https://www.fullpicture.app/item/bb362bf7638a743056cfc7147f1f116b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C5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78426623001607" TargetMode="External"/><Relationship Id="rId8" Type="http://schemas.openxmlformats.org/officeDocument/2006/relationships/hyperlink" Target="https://www.fullpicture.app/item/bb362bf7638a743056cfc7147f1f11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2024-02-15T05:27:33+01:00</dcterms:created>
  <dcterms:modified xsi:type="dcterms:W3CDTF">2024-02-15T05:27:33+01:00</dcterms:modified>
</cp:coreProperties>
</file>

<file path=docProps/custom.xml><?xml version="1.0" encoding="utf-8"?>
<Properties xmlns="http://schemas.openxmlformats.org/officeDocument/2006/custom-properties" xmlns:vt="http://schemas.openxmlformats.org/officeDocument/2006/docPropsVTypes"/>
</file>