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Comparing the regulation and incentivization of e-cigarettes across 97 countries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https://www.sciencedirect.com/science/article/pii/S0277953621005190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E-cigarette use is increasing globally, creating challenges for governments to regulate and incentivize these products in a way that maximizes public health.</w:t>
      </w:r>
    </w:p>
    <w:p>
      <w:pPr>
        <w:jc w:val="both"/>
      </w:pPr>
      <w:r>
        <w:rPr/>
        <w:t xml:space="preserve">2. Approaches to e-cigarette regulation and incentivization fall within a spectrum of options, ranging from a singular focus on health protection to a singular focus on using e-cigarettes for harm reduction.</w:t>
      </w:r>
    </w:p>
    <w:p>
      <w:pPr>
        <w:jc w:val="both"/>
      </w:pPr>
      <w:r>
        <w:rPr/>
        <w:t xml:space="preserve">3. Many different approaches have been generated for regulating and incentivizing e-cigarettes, including banning the product altogether, regulating them as medicinal products or tobacco products, and providing financial incentives such as taxes or rewards for using e-cigarettes.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该文章提供了对全球97个国家对电子烟进行监管和激励的比较分析。然而，该文章存在一些偏见和不足之处。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首先，该文章没有充分探讨电子烟的潜在风险和长期影响。虽然文章提到了关于电子烟对健康的不确定性，但并没有深入探讨这些问题。此外，该文章也没有涉及到电子烟可能会成为青少年吸烟的门户的问题。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其次，该文章似乎更倾向于支持电子烟作为减少传统香烟危害的替代品。虽然这是一个有争议的观点，但该文章并没有平等地呈现双方观点，并且缺乏证据来支持这种观点。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此外，该文章还存在一些片面报道和缺失考虑点。例如，在描述政策选项时，该文章只提到了三种财政激励方式，并未探讨其他可能的政策选项。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最后，尽管该文章提供了全球范围内对电子烟监管和激励的比较分析，但由于数据来源仅限于一个机构收集的信息，并不能代表所有国家或地区对电子烟的政策立场。因此，该文章的结论可能存在一定的局限性。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总之，虽然该文章提供了对全球电子烟政策的比较分析，但其存在一些偏见和不足之处。在未来的研究中，需要更加全面地探讨电子烟的潜在风险和长期影响，并平等地呈现双方观点。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long-term effects of e-cigarettes
</w:t>
      </w:r>
    </w:p>
    <w:p>
      <w:pPr>
        <w:spacing w:after="0"/>
        <w:numPr>
          <w:ilvl w:val="0"/>
          <w:numId w:val="2"/>
        </w:numPr>
      </w:pPr>
      <w:r>
        <w:rPr/>
        <w:t xml:space="preserve">E-cigarettes as a gateway to youth smoking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opposing views on e-cigarettes
</w:t>
      </w:r>
    </w:p>
    <w:p>
      <w:pPr>
        <w:spacing w:after="0"/>
        <w:numPr>
          <w:ilvl w:val="0"/>
          <w:numId w:val="2"/>
        </w:numPr>
      </w:pPr>
      <w:r>
        <w:rPr/>
        <w:t xml:space="preserve">Other policy options for regulating e-cigarettes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data sources used in the analysis
</w:t>
      </w:r>
    </w:p>
    <w:p>
      <w:pPr>
        <w:numPr>
          <w:ilvl w:val="0"/>
          <w:numId w:val="2"/>
        </w:numPr>
      </w:pPr>
      <w:r>
        <w:rPr/>
        <w:t xml:space="preserve">Need for comprehensive exploration of e-cigarette risks and effects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https://www.fullpicture.app/item/bc64b4f7c950f1683b3b346cd27c1f5a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4B9D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77953621005190" TargetMode="External"/><Relationship Id="rId8" Type="http://schemas.openxmlformats.org/officeDocument/2006/relationships/hyperlink" Target="https://www.fullpicture.app/item/bc64b4f7c950f1683b3b346cd27c1f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2023-12-22T23:25:20+01:00</dcterms:created>
  <dcterms:modified xsi:type="dcterms:W3CDTF">2023-12-22T23:25:20+01:00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