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proxies to calculate the carbon impact of investment into electricity network assets - ScienceDirect</w:t>
      </w:r>
      <w:br/>
      <w:hyperlink r:id="rId7" w:history="1">
        <w:r>
          <w:rPr>
            <w:color w:val="2980b9"/>
            <w:u w:val="single"/>
          </w:rPr>
          <w:t xml:space="preserve">http://www-sciencedirect-com-s.webvpn.zju.edu.cn:8001/science/article/pii/S0306261915013471</w:t>
        </w:r>
      </w:hyperlink>
    </w:p>
    <w:p>
      <w:pPr>
        <w:pStyle w:val="Heading1"/>
      </w:pPr>
      <w:bookmarkStart w:id="2" w:name="_Toc2"/>
      <w:r>
        <w:t>Article summary:</w:t>
      </w:r>
      <w:bookmarkEnd w:id="2"/>
    </w:p>
    <w:p>
      <w:pPr>
        <w:jc w:val="both"/>
      </w:pPr>
      <w:r>
        <w:rPr/>
        <w:t xml:space="preserve">1. 电力网络资产投资的碳影响需要考虑，因为这些投资会涉及到材料和建设活动，如电缆和变压器的安装和升级。</w:t>
      </w:r>
    </w:p>
    <w:p>
      <w:pPr>
        <w:jc w:val="both"/>
      </w:pPr>
      <w:r>
        <w:rPr/>
        <w:t xml:space="preserve">2. 使用代理或排放因子可以估算投资或峰值需求增长对网络资产所带来的碳影响，从而评估不同项目选项之间的差异。</w:t>
      </w:r>
    </w:p>
    <w:p>
      <w:pPr>
        <w:jc w:val="both"/>
      </w:pPr>
      <w:r>
        <w:rPr/>
        <w:t xml:space="preserve">3. 分析碳影响对于DG所有者、DSM项目运营商以及SO和DNO等电力系统参与者都很重要，因为随着向低碳电力供应的转变，DG和DSM的使用可能会增加。同时，减少碳排放也是企业社会责任政策或环境战略中必须考虑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作为一篇科学论文，该文章提供了有关电力网络资产投资的碳影响的初步研究。然而，它也存在一些潜在的偏见和缺陷。</w:t>
      </w:r>
    </w:p>
    <w:p>
      <w:pPr>
        <w:jc w:val="both"/>
      </w:pPr>
      <w:r>
        <w:rPr/>
        <w:t xml:space="preserve"/>
      </w:r>
    </w:p>
    <w:p>
      <w:pPr>
        <w:jc w:val="both"/>
      </w:pPr>
      <w:r>
        <w:rPr/>
        <w:t xml:space="preserve">首先，文章似乎过于强调柴油发电机组对碳排放的贡献。虽然这是一个重要问题，但文章没有探讨其他可能对碳排放产生更大影响的因素，例如化石燃料的使用和能源生产过程中的温室气体排放。</w:t>
      </w:r>
    </w:p>
    <w:p>
      <w:pPr>
        <w:jc w:val="both"/>
      </w:pPr>
      <w:r>
        <w:rPr/>
        <w:t xml:space="preserve"/>
      </w:r>
    </w:p>
    <w:p>
      <w:pPr>
        <w:jc w:val="both"/>
      </w:pPr>
      <w:r>
        <w:rPr/>
        <w:t xml:space="preserve">其次，文章没有考虑到可能存在的风险和不确定性。例如，在转向低碳电力系统时，可能会出现技术上或经济上无法预见的问题。此外，文章没有探讨如何应对这些风险和不确定性。</w:t>
      </w:r>
    </w:p>
    <w:p>
      <w:pPr>
        <w:jc w:val="both"/>
      </w:pPr>
      <w:r>
        <w:rPr/>
        <w:t xml:space="preserve"/>
      </w:r>
    </w:p>
    <w:p>
      <w:pPr>
        <w:jc w:val="both"/>
      </w:pPr>
      <w:r>
        <w:rPr/>
        <w:t xml:space="preserve">此外，文章似乎忽略了其他可能影响投资决策的因素。例如，政治、社会和环境因素都可能对投资决策产生重大影响。文章没有探讨这些因素如何与碳影响相关联，并且是否应该考虑它们。</w:t>
      </w:r>
    </w:p>
    <w:p>
      <w:pPr>
        <w:jc w:val="both"/>
      </w:pPr>
      <w:r>
        <w:rPr/>
        <w:t xml:space="preserve"/>
      </w:r>
    </w:p>
    <w:p>
      <w:pPr>
        <w:jc w:val="both"/>
      </w:pPr>
      <w:r>
        <w:rPr/>
        <w:t xml:space="preserve">最后，尽管该文章提供了一种可行的方法来评估电力网络资产投资对碳排放的影响，但它并未提供足够证据来支持其主张。作者需要进一步研究以验证他们所提出方法的有效性，并确定是否存在其他更好的方法来评估电力网络资产投资对碳排放的影响。</w:t>
      </w:r>
    </w:p>
    <w:p>
      <w:pPr>
        <w:pStyle w:val="Heading1"/>
      </w:pPr>
      <w:bookmarkStart w:id="5" w:name="_Toc5"/>
      <w:r>
        <w:t>Topics for further research:</w:t>
      </w:r>
      <w:bookmarkEnd w:id="5"/>
    </w:p>
    <w:p>
      <w:pPr>
        <w:spacing w:after="0"/>
        <w:numPr>
          <w:ilvl w:val="0"/>
          <w:numId w:val="2"/>
        </w:numPr>
      </w:pPr>
      <w:r>
        <w:rPr/>
        <w:t xml:space="preserve">Other factors affecting carbon emissions in power generation
</w:t>
      </w:r>
    </w:p>
    <w:p>
      <w:pPr>
        <w:spacing w:after="0"/>
        <w:numPr>
          <w:ilvl w:val="0"/>
          <w:numId w:val="2"/>
        </w:numPr>
      </w:pPr>
      <w:r>
        <w:rPr/>
        <w:t xml:space="preserve">Risks and uncertainties in transitioning to low-carbon power systems
</w:t>
      </w:r>
    </w:p>
    <w:p>
      <w:pPr>
        <w:spacing w:after="0"/>
        <w:numPr>
          <w:ilvl w:val="0"/>
          <w:numId w:val="2"/>
        </w:numPr>
      </w:pPr>
      <w:r>
        <w:rPr/>
        <w:t xml:space="preserve">Political</w:t>
      </w:r>
    </w:p>
    <w:p>
      <w:pPr>
        <w:spacing w:after="0"/>
        <w:numPr>
          <w:ilvl w:val="0"/>
          <w:numId w:val="2"/>
        </w:numPr>
      </w:pPr>
      <w:r>
        <w:rPr/>
        <w:t xml:space="preserve">social</w:t>
      </w:r>
    </w:p>
    <w:p>
      <w:pPr>
        <w:spacing w:after="0"/>
        <w:numPr>
          <w:ilvl w:val="0"/>
          <w:numId w:val="2"/>
        </w:numPr>
      </w:pPr>
      <w:r>
        <w:rPr/>
        <w:t xml:space="preserve">and environmental factors influencing investment decisions
</w:t>
      </w:r>
    </w:p>
    <w:p>
      <w:pPr>
        <w:spacing w:after="0"/>
        <w:numPr>
          <w:ilvl w:val="0"/>
          <w:numId w:val="2"/>
        </w:numPr>
      </w:pPr>
      <w:r>
        <w:rPr/>
        <w:t xml:space="preserve">Lack of evidence supporting the proposed method for assessing carbon impact
</w:t>
      </w:r>
    </w:p>
    <w:p>
      <w:pPr>
        <w:spacing w:after="0"/>
        <w:numPr>
          <w:ilvl w:val="0"/>
          <w:numId w:val="2"/>
        </w:numPr>
      </w:pPr>
      <w:r>
        <w:rPr/>
        <w:t xml:space="preserve">Need for further research to validate the proposed method
</w:t>
      </w:r>
    </w:p>
    <w:p>
      <w:pPr>
        <w:numPr>
          <w:ilvl w:val="0"/>
          <w:numId w:val="2"/>
        </w:numPr>
      </w:pPr>
      <w:r>
        <w:rPr/>
        <w:t xml:space="preserve">Exploration of alternative methods for evaluating carbon impact of power network investments</w:t>
      </w:r>
    </w:p>
    <w:p>
      <w:pPr>
        <w:pStyle w:val="Heading1"/>
      </w:pPr>
      <w:bookmarkStart w:id="6" w:name="_Toc6"/>
      <w:r>
        <w:t>Report location:</w:t>
      </w:r>
      <w:bookmarkEnd w:id="6"/>
    </w:p>
    <w:p>
      <w:hyperlink r:id="rId8" w:history="1">
        <w:r>
          <w:rPr>
            <w:color w:val="2980b9"/>
            <w:u w:val="single"/>
          </w:rPr>
          <w:t xml:space="preserve">https://www.fullpicture.app/item/be5485b1a60e9f075efdb8799f5e0b77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6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webvpn.zju.edu.cn:8001/science/article/pii/S0306261915013471" TargetMode="External"/><Relationship Id="rId8" Type="http://schemas.openxmlformats.org/officeDocument/2006/relationships/hyperlink" Target="https://www.fullpicture.app/item/be5485b1a60e9f075efdb8799f5e0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2023-12-05T11:24:34+01:00</dcterms:created>
  <dcterms:modified xsi:type="dcterms:W3CDTF">2023-12-05T11:24:34+01:00</dcterms:modified>
</cp:coreProperties>
</file>

<file path=docProps/custom.xml><?xml version="1.0" encoding="utf-8"?>
<Properties xmlns="http://schemas.openxmlformats.org/officeDocument/2006/custom-properties" xmlns:vt="http://schemas.openxmlformats.org/officeDocument/2006/docPropsVTypes"/>
</file>