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 Genome-Wide Binding Profile for Human RE1 Silencing Transcription Factor Unveils a Unique Genetic Circuitry in Hippocampus | Journal of Neuroscience</w:t>
      </w:r>
      <w:br/>
      <w:hyperlink r:id="rId7" w:history="1">
        <w:r>
          <w:rPr>
            <w:color w:val="2980b9"/>
            <w:u w:val="single"/>
          </w:rPr>
          <w:t xml:space="preserve">https://www.jneurosci.org/content/41/31/6582.long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研究发现人类海马体中的RE1沉默转录因子（REST）具有独特的基因调控机制，与小鼠海马体和其他非神经细胞类型不同。</w:t>
      </w:r>
    </w:p>
    <w:p>
      <w:pPr>
        <w:jc w:val="both"/>
      </w:pPr>
      <w:r>
        <w:rPr/>
        <w:t xml:space="preserve">2. 人类REST结合位点与免疫应答和炎症信号相关的基因有关，这些新靶基因在胶质细胞中被抑制。</w:t>
      </w:r>
    </w:p>
    <w:p>
      <w:pPr>
        <w:jc w:val="both"/>
      </w:pPr>
      <w:r>
        <w:rPr/>
        <w:t xml:space="preserve">3. REST表达水平在中年时期增加，预示着大脑衰老的开始，并且人类REST功能已经进化为保护神经元和胶质细胞的寿命和功能。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作为一篇科学研究论文，该文章的内容相对客观和中立。然而，它可能存在一些偏见和局限性。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首先，文章的重点是探讨RE1 Silencing Transcription Factor (REST)在人类海马体中的基因调控机制。虽然作者提到了REST在老年痴呆等神经退行性疾病中的作用，但他们没有深入探讨这些疾病与REST之间的关系。此外，他们也没有考虑到其他可能影响海马体功能和老年认知能力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其次，文章提出了一个有趣的假设：人类REST功能已经进化以保护神经元和胶质细胞的寿命和功能。然而，这个假设缺乏充分的证据支持，并且需要更多实验来验证。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此外，在描述REST在发育过程中的作用时，作者似乎忽略了一些最新的研究结果。例如，最近有报道表明，在小鼠胚胎期间REST并不仅仅存在于非神经组织中，而且还参与了神经元前体细胞的分化过程。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介绍该研究结果时，作者没有提及任何潜在风险或限制条件。例如，在使用ChIP-seq技术进行基因组范围分析时可能会出现误差或漏检等问题。此外，在将这些结果应用于治疗老年认知障碍等疾病之前，还需要进行更多实验来验证这些发现是否具有临床意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总之，尽管该文章提供了有价值的信息和假设，但读者应该注意其中存在的局限性和未解决问题，并谨慎评估其结论。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factors affecting hippocampal function and cognitive ability in aging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the hypothesis of REST evolution for neuronal and glial cell protection
</w:t>
      </w:r>
    </w:p>
    <w:p>
      <w:pPr>
        <w:spacing w:after="0"/>
        <w:numPr>
          <w:ilvl w:val="0"/>
          <w:numId w:val="2"/>
        </w:numPr>
      </w:pPr>
      <w:r>
        <w:rPr/>
        <w:t xml:space="preserve">Recent research on REST involvement in neural precursor cell differentiation during development
</w:t>
      </w:r>
    </w:p>
    <w:p>
      <w:pPr>
        <w:spacing w:after="0"/>
        <w:numPr>
          <w:ilvl w:val="0"/>
          <w:numId w:val="2"/>
        </w:numPr>
      </w:pPr>
      <w:r>
        <w:rPr/>
        <w:t xml:space="preserve">Potential errors or limitations in ChIP-seq analysis
</w:t>
      </w:r>
    </w:p>
    <w:p>
      <w:pPr>
        <w:spacing w:after="0"/>
        <w:numPr>
          <w:ilvl w:val="0"/>
          <w:numId w:val="2"/>
        </w:numPr>
      </w:pPr>
      <w:r>
        <w:rPr/>
        <w:t xml:space="preserve">Need for further experiments to validate clinical significance of findings
</w:t>
      </w:r>
    </w:p>
    <w:p>
      <w:pPr>
        <w:numPr>
          <w:ilvl w:val="0"/>
          <w:numId w:val="2"/>
        </w:numPr>
      </w:pPr>
      <w:r>
        <w:rPr/>
        <w:t xml:space="preserve">Caution in evaluating conclusions and considering limitations and unresolved issues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https://www.fullpicture.app/item/bed9f520313a674bd9296e852900810f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F8090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jneurosci.org/content/41/31/6582.long" TargetMode="External"/><Relationship Id="rId8" Type="http://schemas.openxmlformats.org/officeDocument/2006/relationships/hyperlink" Target="https://www.fullpicture.app/item/bed9f520313a674bd9296e852900810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2023-11-17T18:25:26+01:00</dcterms:created>
  <dcterms:modified xsi:type="dcterms:W3CDTF">2023-11-17T18:25:26+01:00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