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清洁催化氧化合成己二酸 - 百度学术</w:t></w:r><w:br/><w:hyperlink r:id="rId7" w:history="1"><w:r><w:rPr><w:color w:val="2980b9"/><w:u w:val="single"/></w:rPr><w:t xml:space="preserve">https://xueshu.baidu.com/usercenter/paper/show?paperid=6046538b842d3285c65a427d3436eb8a&site=xueshu_se</w:t></w:r></w:hyperlink></w:p><w:p><w:pPr><w:pStyle w:val="Heading1"/></w:pPr><w:bookmarkStart w:id="2" w:name="_Toc2"/><w:r><w:t>Article summary:</w:t></w:r><w:bookmarkEnd w:id="2"/></w:p><w:p><w:pPr><w:jc w:val="both"/></w:pPr><w:r><w:rPr/><w:t xml:space="preserve">1. The article discusses the use of a novel peroxotungstate complex as a catalyst for the oxidation of cyclohexene to produce adipic acid without the need for solvents or phase transfer agents.</w:t></w:r></w:p><w:p><w:pPr><w:jc w:val="both"/></w:pPr><w:r><w:rPr/><w:t xml:space="preserve">2. The effects of different ligand types and catalyst amounts on the reaction are discussed.</w:t></w:r></w:p><w:p><w:pPr><w:jc w:val="both"/></w:pPr><w:r><w:rPr/><w:t xml:space="preserve">3. The yield of adipic acid can reach up to 93-95%.</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published in a reputable journal and cites other sources from authoritative institutions such as the National Science and Technology Library, Titanium Academic, and Chinese Academy of Sciences Knowledge Database. Furthermore, the authors provide detailed information about their research methods and results, which adds to its credibility. </w:t></w:r></w:p><w:p><w:pPr><w:jc w:val="both"/></w:pPr><w:r><w:rPr/><w:t xml:space="preserve">However, there are some potential biases that should be noted. For example, the authors do not discuss any possible risks associated with using this method for producing adipic acid or any potential environmental impacts that may arise from its use. Additionally, they do not explore any counterarguments or alternative methods that could be used to produce adipic acid more efficiently or safely. Finally, there is no mention of any potential economic implications associated with this method of production.</w:t></w:r></w:p><w:p><w:pPr><w:pStyle w:val="Heading1"/></w:pPr><w:bookmarkStart w:id="5" w:name="_Toc5"/><w:r><w:t>Topics for further research:</w:t></w:r><w:bookmarkEnd w:id="5"/></w:p><w:p><w:pPr><w:spacing w:after="0"/><w:numPr><w:ilvl w:val="0"/><w:numId w:val="2"/></w:numPr></w:pPr><w:r><w:rPr/><w:t xml:space="preserve">Adipic acid production risks</w:t></w:r></w:p><w:p><w:pPr><w:spacing w:after="0"/><w:numPr><w:ilvl w:val="0"/><w:numId w:val="2"/></w:numPr></w:pPr><w:r><w:rPr/><w:t xml:space="preserve">Environmental impacts of adipic acid production</w:t></w:r></w:p><w:p><w:pPr><w:spacing w:after="0"/><w:numPr><w:ilvl w:val="0"/><w:numId w:val="2"/></w:numPr></w:pPr><w:r><w:rPr/><w:t xml:space="preserve">Alternative methods of adipic acid production</w:t></w:r></w:p><w:p><w:pPr><w:spacing w:after="0"/><w:numPr><w:ilvl w:val="0"/><w:numId w:val="2"/></w:numPr></w:pPr><w:r><w:rPr/><w:t xml:space="preserve">Economic implications of adipic acid production</w:t></w:r></w:p><w:p><w:pPr><w:spacing w:after="0"/><w:numPr><w:ilvl w:val="0"/><w:numId w:val="2"/></w:numPr></w:pPr><w:r><w:rPr/><w:t xml:space="preserve">Adipic acid production safety</w:t></w:r></w:p><w:p><w:pPr><w:numPr><w:ilvl w:val="0"/><w:numId w:val="2"/></w:numPr></w:pPr><w:r><w:rPr/><w:t xml:space="preserve">Adipic acid production efficiency</w:t></w:r></w:p><w:p><w:pPr><w:pStyle w:val="Heading1"/></w:pPr><w:bookmarkStart w:id="6" w:name="_Toc6"/><w:r><w:t>Report location:</w:t></w:r><w:bookmarkEnd w:id="6"/></w:p><w:p><w:hyperlink r:id="rId8" w:history="1"><w:r><w:rPr><w:color w:val="2980b9"/><w:u w:val="single"/></w:rPr><w:t xml:space="preserve">https://www.fullpicture.app/item/c29515b59cd3acc49ef44c4271c999df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F9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6046538b842d3285c65a427d3436eb8a&amp;site=xueshu_se" TargetMode="External"/><Relationship Id="rId8" Type="http://schemas.openxmlformats.org/officeDocument/2006/relationships/hyperlink" Target="https://www.fullpicture.app/item/c29515b59cd3acc49ef44c4271c999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2023-02-23T03:26:43+01:00</dcterms:created>
  <dcterms:modified xsi:type="dcterms:W3CDTF">2023-02-23T03:26:43+01:00</dcterms:modified>
</cp:coreProperties>
</file>

<file path=docProps/custom.xml><?xml version="1.0" encoding="utf-8"?>
<Properties xmlns="http://schemas.openxmlformats.org/officeDocument/2006/custom-properties" xmlns:vt="http://schemas.openxmlformats.org/officeDocument/2006/docPropsVTypes"/>
</file>