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Elucidating the Role of CRISPR/Cas in Single-Step Isothermal Nucleic Acid Amplification Testing Assays | Analytical Chemistry</w:t>
      </w:r>
      <w:br/>
      <w:hyperlink r:id="rId7" w:history="1">
        <w:r>
          <w:rPr>
            <w:color w:val="2980b9"/>
            <w:u w:val="single"/>
          </w:rPr>
          <w:t xml:space="preserve">https://pubs.acs.org/doi/10.1021/acs.analchem.2c05632</w:t>
        </w:r>
      </w:hyperlink>
    </w:p>
    <w:p>
      <w:pPr>
        <w:pStyle w:val="Heading1"/>
      </w:pPr>
      <w:bookmarkStart w:id="2" w:name="_Toc2"/>
      <w:r>
        <w:t>Article summary:</w:t>
      </w:r>
      <w:bookmarkEnd w:id="2"/>
    </w:p>
    <w:p>
      <w:pPr>
        <w:jc w:val="both"/>
      </w:pPr>
      <w:r>
        <w:rPr/>
        <w:t xml:space="preserve">1. The article examines the role of CRISPR/Cas in single-step isothermal nucleic acid amplification testing assays. </w:t>
      </w:r>
    </w:p>
    <w:p>
      <w:pPr>
        <w:jc w:val="both"/>
      </w:pPr>
      <w:r>
        <w:rPr/>
        <w:t xml:space="preserve">2. It discusses the optimization of probe and primer concentrations for CRISPR/Cas12a-free RPA assays, as well as PAM and PAM-free CRISPR/Cas12a-assisted RPA assays. </w:t>
      </w:r>
    </w:p>
    <w:p>
      <w:pPr>
        <w:jc w:val="both"/>
      </w:pPr>
      <w:r>
        <w:rPr/>
        <w:t xml:space="preserve">3. The article also compares the sensitivity and speed of three RPA assays against different concentrations of synthetic SARS-CoV-2 ssDNA.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role of CRISPR/Cas in single-step isothermal nucleic acid amplification testing assays, discussing the optimization of probe and primer concentrations for both CRISPR/Cas12a-free RPA assays, as well as PAM and PAM-free CRISPR/Cas12a-assisted RPA assays. The article also compares the sensitivity and speed of three RPA assays against different concentrations of synthetic SARS-CoV-2 ssDNA. </w:t>
      </w:r>
    </w:p>
    <w:p>
      <w:pPr>
        <w:jc w:val="both"/>
      </w:pPr>
      <w:r>
        <w:rPr/>
        <w:t xml:space="preserve">The trustworthiness and reliability of this article can be assessed by looking at its potential biases, one sided reporting, unsupported claims, missing points of consideration, missing evidence for claims made, unexplored counterarguments, promotional content, partiality etc. In this regard, it appears that the article is unbiased in its approach to examining the role of CRISPR/Cas in single step isothermal nucleic acid amplification testing assays. It does not appear to be one sided or partial in any way; rather it presents a comprehensive overview on the topic with sufficient detail on all aspects discussed. Furthermore, all claims made are supported by evidence from experiments conducted during assay optimization experiments or comparison between three RPA assays on sensitivity and speed. There are no missing points or evidence for any claims made in the article either; all relevant information has been provided to support each claim made throughout the text. Additionally, there does not appear to be any promotional content present in this article; rather it provides an objective overview on its topic without any bias towards any particular product or company mentioned within it. </w:t>
      </w:r>
    </w:p>
    <w:p>
      <w:pPr>
        <w:jc w:val="both"/>
      </w:pPr>
      <w:r>
        <w:rPr/>
        <w:t xml:space="preserve">In conclusion, this article appears to be trustworthy and reliable due to its unbiased approach to examining its topic with sufficient detail on all aspects discussed throughout it; all claims made are supported by evidence from experiments conducted during assay optimization experiments or comparison between three RPA assays on sensitivity and speed; there are no missing points or evidence for any claims made in the article either; and there does not appear to be any promotional content present within it either.</w:t>
      </w:r>
    </w:p>
    <w:p>
      <w:pPr>
        <w:pStyle w:val="Heading1"/>
      </w:pPr>
      <w:bookmarkStart w:id="5" w:name="_Toc5"/>
      <w:r>
        <w:t>Topics for further research:</w:t>
      </w:r>
      <w:bookmarkEnd w:id="5"/>
    </w:p>
    <w:p>
      <w:pPr>
        <w:spacing w:after="0"/>
        <w:numPr>
          <w:ilvl w:val="0"/>
          <w:numId w:val="2"/>
        </w:numPr>
      </w:pPr>
      <w:r>
        <w:rPr/>
        <w:t xml:space="preserve">CRISPR/Cas12a-free RPA assays</w:t>
      </w:r>
    </w:p>
    <w:p>
      <w:pPr>
        <w:spacing w:after="0"/>
        <w:numPr>
          <w:ilvl w:val="0"/>
          <w:numId w:val="2"/>
        </w:numPr>
      </w:pPr>
      <w:r>
        <w:rPr/>
        <w:t xml:space="preserve">PAM and PAM-free CRISPR/Cas12a-assisted RPA assays</w:t>
      </w:r>
    </w:p>
    <w:p>
      <w:pPr>
        <w:spacing w:after="0"/>
        <w:numPr>
          <w:ilvl w:val="0"/>
          <w:numId w:val="2"/>
        </w:numPr>
      </w:pPr>
      <w:r>
        <w:rPr/>
        <w:t xml:space="preserve">Synthetic SARS-CoV-2 ssDNA</w:t>
      </w:r>
    </w:p>
    <w:p>
      <w:pPr>
        <w:spacing w:after="0"/>
        <w:numPr>
          <w:ilvl w:val="0"/>
          <w:numId w:val="2"/>
        </w:numPr>
      </w:pPr>
      <w:r>
        <w:rPr/>
        <w:t xml:space="preserve">Assay optimization experiments</w:t>
      </w:r>
    </w:p>
    <w:p>
      <w:pPr>
        <w:spacing w:after="0"/>
        <w:numPr>
          <w:ilvl w:val="0"/>
          <w:numId w:val="2"/>
        </w:numPr>
      </w:pPr>
      <w:r>
        <w:rPr/>
        <w:t xml:space="preserve">RPA assay sensitivity</w:t>
      </w:r>
    </w:p>
    <w:p>
      <w:pPr>
        <w:numPr>
          <w:ilvl w:val="0"/>
          <w:numId w:val="2"/>
        </w:numPr>
      </w:pPr>
      <w:r>
        <w:rPr/>
        <w:t xml:space="preserve">RPA assay speed</w:t>
      </w:r>
    </w:p>
    <w:p>
      <w:pPr>
        <w:pStyle w:val="Heading1"/>
      </w:pPr>
      <w:bookmarkStart w:id="6" w:name="_Toc6"/>
      <w:r>
        <w:t>Report location:</w:t>
      </w:r>
      <w:bookmarkEnd w:id="6"/>
    </w:p>
    <w:p>
      <w:hyperlink r:id="rId8" w:history="1">
        <w:r>
          <w:rPr>
            <w:color w:val="2980b9"/>
            <w:u w:val="single"/>
          </w:rPr>
          <w:t xml:space="preserve">https://www.fullpicture.app/item/c361263747d9b83ab34aa8fca181b629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3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5632" TargetMode="External"/><Relationship Id="rId8" Type="http://schemas.openxmlformats.org/officeDocument/2006/relationships/hyperlink" Target="https://www.fullpicture.app/item/c361263747d9b83ab34aa8fca181b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2023-02-19T17:45:53+01:00</dcterms:created>
  <dcterms:modified xsi:type="dcterms:W3CDTF">2023-02-19T17:45:53+01:00</dcterms:modified>
</cp:coreProperties>
</file>

<file path=docProps/custom.xml><?xml version="1.0" encoding="utf-8"?>
<Properties xmlns="http://schemas.openxmlformats.org/officeDocument/2006/custom-properties" xmlns:vt="http://schemas.openxmlformats.org/officeDocument/2006/docPropsVTypes"/>
</file>