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北京大学软件与微电子学院</w:t>
      </w:r>
      <w:br/>
      <w:hyperlink r:id="rId7" w:history="1">
        <w:r>
          <w:rPr>
            <w:color w:val="2980b9"/>
            <w:u w:val="single"/>
          </w:rPr>
          <w:t xml:space="preserve">https://www.ss.pku.edu.cn/admission/admbrochure/4341.html</w:t>
        </w:r>
      </w:hyperlink>
    </w:p>
    <w:p>
      <w:pPr>
        <w:pStyle w:val="Heading1"/>
      </w:pPr>
      <w:bookmarkStart w:id="2" w:name="_Toc2"/>
      <w:r>
        <w:t>Article summary:</w:t>
      </w:r>
      <w:bookmarkEnd w:id="2"/>
    </w:p>
    <w:p>
      <w:pPr>
        <w:jc w:val="both"/>
      </w:pPr>
      <w:r>
        <w:rPr/>
        <w:t xml:space="preserve">1. 北京大学软件与微电子学院计划招收100名软件工程专业第二学士学位学生。</w:t>
      </w:r>
    </w:p>
    <w:p>
      <w:pPr>
        <w:jc w:val="both"/>
      </w:pPr>
      <w:r>
        <w:rPr/>
        <w:t xml:space="preserve">2. 报考条件包括拥护中国共产党的领导、本科专业不属于工学门类或不属于“计算机类”专业类等。</w:t>
      </w:r>
    </w:p>
    <w:p>
      <w:pPr>
        <w:jc w:val="both"/>
      </w:pPr>
      <w:r>
        <w:rPr/>
        <w:t xml:space="preserve">3. 报名方式为网上报名，报名材料包括网上报名表、身份证扫描件、个人陈述书等。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作为一篇招生简章，该文章主要介绍了北京大学软件与微电子学院2022年计划招收软件工程专业第二学士学位学生的报考条件、招生专业及方向以及报名方式和所需材料。然而，在其内容中存在以下问题：</w:t>
      </w:r>
    </w:p>
    <w:p>
      <w:pPr>
        <w:jc w:val="both"/>
      </w:pPr>
      <w:r>
        <w:rPr/>
        <w:t xml:space="preserve"/>
      </w:r>
    </w:p>
    <w:p>
      <w:pPr>
        <w:jc w:val="both"/>
      </w:pPr>
      <w:r>
        <w:rPr/>
        <w:t xml:space="preserve">1. 招生对象限制</w:t>
      </w:r>
    </w:p>
    <w:p>
      <w:pPr>
        <w:jc w:val="both"/>
      </w:pPr>
      <w:r>
        <w:rPr/>
        <w:t xml:space="preserve">该文章规定了招生对象必须是“原则上主要招收当年普通高校本科毕业并获得学士学位的应届毕业生，以及近三年普通高校本科毕业并获得学士学位、目前未就业的往届生”，这种限制可能会排除一些有潜力但不符合这些条件的申请者。此外，该文章还规定了本科专业不属于工学门类或者虽然属于工学门类但不属于“计算机类”专业类，这也可能会排除一些具有相关经验和技能的申请者。</w:t>
      </w:r>
    </w:p>
    <w:p>
      <w:pPr>
        <w:jc w:val="both"/>
      </w:pPr>
      <w:r>
        <w:rPr/>
        <w:t xml:space="preserve"/>
      </w:r>
    </w:p>
    <w:p>
      <w:pPr>
        <w:jc w:val="both"/>
      </w:pPr>
      <w:r>
        <w:rPr/>
        <w:t xml:space="preserve">2. 缺乏对教育质量的承诺</w:t>
      </w:r>
    </w:p>
    <w:p>
      <w:pPr>
        <w:jc w:val="both"/>
      </w:pPr>
      <w:r>
        <w:rPr/>
        <w:t xml:space="preserve">该文章没有提供关于教育质量和师资力量的信息，也没有承诺提供优质的教育资源和培养方案。这可能会让申请者对该院校的教育质量产生疑虑。</w:t>
      </w:r>
    </w:p>
    <w:p>
      <w:pPr>
        <w:jc w:val="both"/>
      </w:pPr>
      <w:r>
        <w:rPr/>
        <w:t xml:space="preserve"/>
      </w:r>
    </w:p>
    <w:p>
      <w:pPr>
        <w:jc w:val="both"/>
      </w:pPr>
      <w:r>
        <w:rPr/>
        <w:t xml:space="preserve">3. 报名方式不够便捷</w:t>
      </w:r>
    </w:p>
    <w:p>
      <w:pPr>
        <w:jc w:val="both"/>
      </w:pPr>
      <w:r>
        <w:rPr/>
        <w:t xml:space="preserve">该文章规定了报名采取网上报名方式，但是需要在学院报名材料上传审核平台中上传并提交报名材料。这种繁琐的报名流程可能会让一些申请者望而却步。</w:t>
      </w:r>
    </w:p>
    <w:p>
      <w:pPr>
        <w:jc w:val="both"/>
      </w:pPr>
      <w:r>
        <w:rPr/>
        <w:t xml:space="preserve"/>
      </w:r>
    </w:p>
    <w:p>
      <w:pPr>
        <w:jc w:val="both"/>
      </w:pPr>
      <w:r>
        <w:rPr/>
        <w:t xml:space="preserve">4. 缺乏对风险的提醒</w:t>
      </w:r>
    </w:p>
    <w:p>
      <w:pPr>
        <w:jc w:val="both"/>
      </w:pPr>
      <w:r>
        <w:rPr/>
        <w:t xml:space="preserve">该文章没有提供关于招生过程中可能出现的风险和注意事项的信息，这可能会让申请者在面临问题时无从应对。</w:t>
      </w:r>
    </w:p>
    <w:p>
      <w:pPr>
        <w:jc w:val="both"/>
      </w:pPr>
      <w:r>
        <w:rPr/>
        <w:t xml:space="preserve"/>
      </w:r>
    </w:p>
    <w:p>
      <w:pPr>
        <w:jc w:val="both"/>
      </w:pPr>
      <w:r>
        <w:rPr/>
        <w:t xml:space="preserve">总之，该文章存在一些限制性条件、缺乏教育质量承诺、不够便捷的报名方式以及缺乏对风险的提醒等问题。因此，在阅读该文章时，申请者需要仔细考虑自己是否符合招生条件，并且需要进一步了解该院校的教育质量和培养方案。</w:t>
      </w:r>
    </w:p>
    <w:p>
      <w:pPr>
        <w:pStyle w:val="Heading1"/>
      </w:pPr>
      <w:bookmarkStart w:id="5" w:name="_Toc5"/>
      <w:r>
        <w:t>Topics for further research:</w:t>
      </w:r>
      <w:bookmarkEnd w:id="5"/>
    </w:p>
    <w:p>
      <w:pPr>
        <w:spacing w:after="0"/>
        <w:numPr>
          <w:ilvl w:val="0"/>
          <w:numId w:val="2"/>
        </w:numPr>
      </w:pPr>
      <w:r>
        <w:rPr/>
        <w:t xml:space="preserve">Inclusive admission criteria
</w:t>
      </w:r>
    </w:p>
    <w:p>
      <w:pPr>
        <w:spacing w:after="0"/>
        <w:numPr>
          <w:ilvl w:val="0"/>
          <w:numId w:val="2"/>
        </w:numPr>
      </w:pPr>
      <w:r>
        <w:rPr/>
        <w:t xml:space="preserve">Commitment to education quality
</w:t>
      </w:r>
    </w:p>
    <w:p>
      <w:pPr>
        <w:spacing w:after="0"/>
        <w:numPr>
          <w:ilvl w:val="0"/>
          <w:numId w:val="2"/>
        </w:numPr>
      </w:pPr>
      <w:r>
        <w:rPr/>
        <w:t xml:space="preserve">Convenient application process
</w:t>
      </w:r>
    </w:p>
    <w:p>
      <w:pPr>
        <w:spacing w:after="0"/>
        <w:numPr>
          <w:ilvl w:val="0"/>
          <w:numId w:val="2"/>
        </w:numPr>
      </w:pPr>
      <w:r>
        <w:rPr/>
        <w:t xml:space="preserve">Risk awareness and mitigation
</w:t>
      </w:r>
    </w:p>
    <w:p>
      <w:pPr>
        <w:spacing w:after="0"/>
        <w:numPr>
          <w:ilvl w:val="0"/>
          <w:numId w:val="2"/>
        </w:numPr>
      </w:pPr>
      <w:r>
        <w:rPr/>
        <w:t xml:space="preserve">Faculty and resources
</w:t>
      </w:r>
    </w:p>
    <w:p>
      <w:pPr>
        <w:numPr>
          <w:ilvl w:val="0"/>
          <w:numId w:val="2"/>
        </w:numPr>
      </w:pPr>
      <w:r>
        <w:rPr/>
        <w:t xml:space="preserve">Career prospects and alumni network</w:t>
      </w:r>
    </w:p>
    <w:p>
      <w:pPr>
        <w:pStyle w:val="Heading1"/>
      </w:pPr>
      <w:bookmarkStart w:id="6" w:name="_Toc6"/>
      <w:r>
        <w:t>Report location:</w:t>
      </w:r>
      <w:bookmarkEnd w:id="6"/>
    </w:p>
    <w:p>
      <w:hyperlink r:id="rId8" w:history="1">
        <w:r>
          <w:rPr>
            <w:color w:val="2980b9"/>
            <w:u w:val="single"/>
          </w:rPr>
          <w:t xml:space="preserve">https://www.fullpicture.app/item/c3de6a554e82082f6c48a997d20b4717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9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s.pku.edu.cn/admission/admbrochure/4341.html" TargetMode="External"/><Relationship Id="rId8" Type="http://schemas.openxmlformats.org/officeDocument/2006/relationships/hyperlink" Target="https://www.fullpicture.app/item/c3de6a554e82082f6c48a997d20b4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2024-06-22T22:17:23+02:00</dcterms:created>
  <dcterms:modified xsi:type="dcterms:W3CDTF">2024-06-22T22:17:23+02:00</dcterms:modified>
</cp:coreProperties>
</file>

<file path=docProps/custom.xml><?xml version="1.0" encoding="utf-8"?>
<Properties xmlns="http://schemas.openxmlformats.org/officeDocument/2006/custom-properties" xmlns:vt="http://schemas.openxmlformats.org/officeDocument/2006/docPropsVTypes"/>
</file>