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Caribbean and Central American producers manage disaster risk - Global Coffee Report</w:t>
      </w:r>
      <w:br/>
      <w:hyperlink r:id="rId7" w:history="1">
        <w:r>
          <w:rPr>
            <w:color w:val="2980b9"/>
            <w:u w:val="single"/>
          </w:rPr>
          <w:t xml:space="preserve">https://www.gcrmag.com/how-caribbean-and-central-american-producers-manage-disaster-risk/</w:t>
        </w:r>
      </w:hyperlink>
    </w:p>
    <w:p>
      <w:pPr>
        <w:pStyle w:val="Heading1"/>
      </w:pPr>
      <w:bookmarkStart w:id="2" w:name="_Toc2"/>
      <w:r>
        <w:t>Article summary:</w:t>
      </w:r>
      <w:bookmarkEnd w:id="2"/>
    </w:p>
    <w:p>
      <w:pPr>
        <w:jc w:val="both"/>
      </w:pPr>
      <w:r>
        <w:rPr/>
        <w:t xml:space="preserve">1. Caribbean and Central American producers face multiple threats to their coffee crops, including low prices, pests and diseases, climate change, and the logistical disruption caused by the pandemic.</w:t>
      </w:r>
    </w:p>
    <w:p>
      <w:pPr>
        <w:jc w:val="both"/>
      </w:pPr>
      <w:r>
        <w:rPr/>
        <w:t xml:space="preserve">2. Disaster risk insurance programs, such as the Caribbean Catastrophe Risk Insurance Facility (CCRIF), provide a safety net for smallholder farmers in the region by quickly providing short-term liquidity after natural disasters.</w:t>
      </w:r>
    </w:p>
    <w:p>
      <w:pPr>
        <w:jc w:val="both"/>
      </w:pPr>
      <w:r>
        <w:rPr/>
        <w:t xml:space="preserve">3. Multi-hazard early warning systems that integrate disaster, climate, and crisis risk management are needed to reduce disaster risks and losses in the agricultural sector and strengthen the resilience of vulnerable populations.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how Caribbean and Central American coffee producers manage disaster risk through insurance mechanisms, such as the Caribbean Catastrophe Risk Insurance Facility (CCRIF), which provides cost-effective and fast-disbursing liquidity to member governments in the aftermath of natural disasters. The article also highlights the importance of understanding the interconnectedness of threats faced by coffee farmers, including low prices, pests and diseases, climate change, and logistical disruptions caused by the COVID-19 pandemic.</w:t>
      </w:r>
    </w:p>
    <w:p>
      <w:pPr>
        <w:jc w:val="both"/>
      </w:pPr>
      <w:r>
        <w:rPr/>
        <w:t xml:space="preserve"/>
      </w:r>
    </w:p>
    <w:p>
      <w:pPr>
        <w:jc w:val="both"/>
      </w:pPr>
      <w:r>
        <w:rPr/>
        <w:t xml:space="preserve">Overall, the article provides a comprehensive overview of the challenges faced by coffee producers in the region and the efforts being made to mitigate their impact. However, there are some potential biases and missing points of consideration that should be noted.</w:t>
      </w:r>
    </w:p>
    <w:p>
      <w:pPr>
        <w:jc w:val="both"/>
      </w:pPr>
      <w:r>
        <w:rPr/>
        <w:t xml:space="preserve"/>
      </w:r>
    </w:p>
    <w:p>
      <w:pPr>
        <w:jc w:val="both"/>
      </w:pPr>
      <w:r>
        <w:rPr/>
        <w:t xml:space="preserve">Firstly, while the article acknowledges that climate change is a major threat to coffee production in the region, it does not delve into the root causes of this phenomenon or explore potential solutions beyond disaster insurance. This could be seen as a missed opportunity to raise awareness about the urgent need for global action on climate change.</w:t>
      </w:r>
    </w:p>
    <w:p>
      <w:pPr>
        <w:jc w:val="both"/>
      </w:pPr>
      <w:r>
        <w:rPr/>
        <w:t xml:space="preserve"/>
      </w:r>
    </w:p>
    <w:p>
      <w:pPr>
        <w:jc w:val="both"/>
      </w:pPr>
      <w:r>
        <w:rPr/>
        <w:t xml:space="preserve">Secondly, while CCRIF is presented as an effective solution for managing disaster risk in the region, there is no discussion of any potential drawbacks or limitations to this approach. For example, some critics have argued that parametric insurance policies like those offered by CCRIF may not adequately address all types of losses incurred by farmers after a natural disaster.</w:t>
      </w:r>
    </w:p>
    <w:p>
      <w:pPr>
        <w:jc w:val="both"/>
      </w:pPr>
      <w:r>
        <w:rPr/>
        <w:t xml:space="preserve"/>
      </w:r>
    </w:p>
    <w:p>
      <w:pPr>
        <w:jc w:val="both"/>
      </w:pPr>
      <w:r>
        <w:rPr/>
        <w:t xml:space="preserve">Finally, while there is some discussion of efforts being made to build multi-hazard early warning systems and integrate disaster risk management into agricultural planning and investment, there is little exploration of how these initiatives might be scaled up or sustained over time. This could be seen as a missed opportunity to highlight potential areas for further research or collaboration between stakeholders in the region.</w:t>
      </w:r>
    </w:p>
    <w:p>
      <w:pPr>
        <w:jc w:val="both"/>
      </w:pPr>
      <w:r>
        <w:rPr/>
        <w:t xml:space="preserve"/>
      </w:r>
    </w:p>
    <w:p>
      <w:pPr>
        <w:jc w:val="both"/>
      </w:pPr>
      <w:r>
        <w:rPr/>
        <w:t xml:space="preserve">In conclusion, while this article provides valuable insights into how Caribbean and Central American coffee producers manage disaster risk through insurance mechanisms like CCRIF, it could benefit from more nuanced analysis of potential biases and limitations associated with this approach. Additionally, the article could explore potential solutions beyond disaster insurance and highlight areas for further research and collaboration in the region.</w:t>
      </w:r>
    </w:p>
    <w:p>
      <w:pPr>
        <w:pStyle w:val="Heading1"/>
      </w:pPr>
      <w:bookmarkStart w:id="5" w:name="_Toc5"/>
      <w:r>
        <w:t>Topics for further research:</w:t>
      </w:r>
      <w:bookmarkEnd w:id="5"/>
    </w:p>
    <w:p>
      <w:pPr>
        <w:spacing w:after="0"/>
        <w:numPr>
          <w:ilvl w:val="0"/>
          <w:numId w:val="2"/>
        </w:numPr>
      </w:pPr>
      <w:r>
        <w:rPr/>
        <w:t xml:space="preserve">Root causes of climate change and its impact on coffee production in the Caribbean and Central America
</w:t>
      </w:r>
    </w:p>
    <w:p>
      <w:pPr>
        <w:spacing w:after="0"/>
        <w:numPr>
          <w:ilvl w:val="0"/>
          <w:numId w:val="2"/>
        </w:numPr>
      </w:pPr>
      <w:r>
        <w:rPr/>
        <w:t xml:space="preserve">Alternative solutions for managing disaster risk in the coffee industry beyond insurance mechanisms
</w:t>
      </w:r>
    </w:p>
    <w:p>
      <w:pPr>
        <w:spacing w:after="0"/>
        <w:numPr>
          <w:ilvl w:val="0"/>
          <w:numId w:val="2"/>
        </w:numPr>
      </w:pPr>
      <w:r>
        <w:rPr/>
        <w:t xml:space="preserve">Criticisms and limitations of parametric insurance policies like CCRIF for disaster risk management
</w:t>
      </w:r>
    </w:p>
    <w:p>
      <w:pPr>
        <w:spacing w:after="0"/>
        <w:numPr>
          <w:ilvl w:val="0"/>
          <w:numId w:val="2"/>
        </w:numPr>
      </w:pPr>
      <w:r>
        <w:rPr/>
        <w:t xml:space="preserve">Long-term sustainability and scalability of multi-hazard early warning systems and disaster risk management initiatives in the region
</w:t>
      </w:r>
    </w:p>
    <w:p>
      <w:pPr>
        <w:spacing w:after="0"/>
        <w:numPr>
          <w:ilvl w:val="0"/>
          <w:numId w:val="2"/>
        </w:numPr>
      </w:pPr>
      <w:r>
        <w:rPr/>
        <w:t xml:space="preserve">Collaborative efforts between stakeholders in the coffee industry to address interconnected threats faced by farmers
</w:t>
      </w:r>
    </w:p>
    <w:p>
      <w:pPr>
        <w:numPr>
          <w:ilvl w:val="0"/>
          <w:numId w:val="2"/>
        </w:numPr>
      </w:pPr>
      <w:r>
        <w:rPr/>
        <w:t xml:space="preserve">Impact of COVID-19 on the coffee industry in the Caribbean and Central America beyond logistical disruptions.</w:t>
      </w:r>
    </w:p>
    <w:p>
      <w:pPr>
        <w:pStyle w:val="Heading1"/>
      </w:pPr>
      <w:bookmarkStart w:id="6" w:name="_Toc6"/>
      <w:r>
        <w:t>Report location:</w:t>
      </w:r>
      <w:bookmarkEnd w:id="6"/>
    </w:p>
    <w:p>
      <w:hyperlink r:id="rId8" w:history="1">
        <w:r>
          <w:rPr>
            <w:color w:val="2980b9"/>
            <w:u w:val="single"/>
          </w:rPr>
          <w:t xml:space="preserve">https://www.fullpicture.app/item/c43540fe4c54b6b90397b56def9eb88e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87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crmag.com/how-caribbean-and-central-american-producers-manage-disaster-risk/" TargetMode="External"/><Relationship Id="rId8" Type="http://schemas.openxmlformats.org/officeDocument/2006/relationships/hyperlink" Target="https://www.fullpicture.app/item/c43540fe4c54b6b90397b56def9eb8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2023-12-18T14:02:13+01:00</dcterms:created>
  <dcterms:modified xsi:type="dcterms:W3CDTF">2023-12-18T14:02:13+01:00</dcterms:modified>
</cp:coreProperties>
</file>

<file path=docProps/custom.xml><?xml version="1.0" encoding="utf-8"?>
<Properties xmlns="http://schemas.openxmlformats.org/officeDocument/2006/custom-properties" xmlns:vt="http://schemas.openxmlformats.org/officeDocument/2006/docPropsVTypes"/>
</file>