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application of a shape-preserving rapid corneal donor dehydrater</w:t>
      </w:r>
      <w:br/>
      <w:hyperlink r:id="rId7" w:history="1">
        <w:r>
          <w:rPr>
            <w:color w:val="2980b9"/>
            <w:u w:val="single"/>
          </w:rPr>
          <w:t xml:space="preserve">https://www.ncbi.nlm.nih.gov/pmc/articles/PMC9091894/</w:t>
        </w:r>
      </w:hyperlink>
    </w:p>
    <w:p>
      <w:pPr>
        <w:pStyle w:val="Heading1"/>
      </w:pPr>
      <w:bookmarkStart w:id="2" w:name="_Toc2"/>
      <w:r>
        <w:t>Article summary:</w:t>
      </w:r>
      <w:bookmarkEnd w:id="2"/>
    </w:p>
    <w:p>
      <w:pPr>
        <w:jc w:val="both"/>
      </w:pPr>
      <w:r>
        <w:rPr/>
        <w:t xml:space="preserve">1. This article describes the design and clinical application of a corneal donor dehydrator which can quickly dehydrate corneas and keep its original shape.</w:t>
      </w:r>
    </w:p>
    <w:p>
      <w:pPr>
        <w:jc w:val="both"/>
      </w:pPr>
      <w:r>
        <w:rPr/>
        <w:t xml:space="preserve">2. The mean BCVA of the dehydrater group was 0.30±0.18 at 1wk and 0.32±0.16 at 1mo, which were statistically better than that of the control group (P&lt;0.001).</w:t>
      </w:r>
    </w:p>
    <w:p>
      <w:pPr>
        <w:jc w:val="both"/>
      </w:pPr>
      <w:r>
        <w:rPr/>
        <w:t xml:space="preserve">3. The dehydrater can quickly dehydrate the corneal material in a clean and airtight environment and maintain the original shape of the corneal donor during the dehydrating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type of corneal donor dehydrator that is designed to quickly dehydrate corneas while preserving their original shape. The article presents data from 83 eyes that underwent deep anterior lamellar keratoplasty (DALK) using corneal donor tissue preserved with this device, as well as 60 patients (60 eyes) who received DALK by the same surgeon using glycerol-preserved tissue as a control group. The results showed that after dehydration, all donor corneas maintained their normal shape without any shrinkage or distortion, and that the mean BCVA of the dehydrater group was significantly better than that of the control group (P&lt;0.001). Additionally, there were no observed complications such as interlamellar effusion or double anterior chamber one week after operation in both groups. </w:t>
      </w:r>
    </w:p>
    <w:p>
      <w:pPr>
        <w:jc w:val="both"/>
      </w:pPr>
      <w:r>
        <w:rPr/>
        <w:t xml:space="preserve">The article appears to be reliable overall, as it provides detailed information on both the design and clinical application of this new device, including data from two separate patient groups for comparison purposes. Furthermore, it cites relevant sources to support its claims throughout, providing evidence for its conclusions regarding efficacy and safety of this device for long-term preservation of cornea donors in areas where they cannot be used within a reasonable time period. </w:t>
      </w:r>
    </w:p>
    <w:p>
      <w:pPr>
        <w:jc w:val="both"/>
      </w:pPr>
      <w:r>
        <w:rPr/>
        <w:t xml:space="preserve">However, there are some potential biases present in this article which should be noted when considering its trustworthiness and reliability. For example, although it does not appear to be promotional in nature, it does not provide any information on potential risks associated with using this device or other possible alternatives for preserving donor tissue for long-term use; thus readers may not have all available information necessary to make an informed decision about whether or not to use this device clinically. Additionally, although it does compare results between two different patient groups using different methods for preservation, it does not explore any counterarguments or consider any other factors which may have influenced these results; thus readers may not have a full understanding of how these results were obtained or what other factors may have contributed to them.</w:t>
      </w:r>
    </w:p>
    <w:p>
      <w:pPr>
        <w:pStyle w:val="Heading1"/>
      </w:pPr>
      <w:bookmarkStart w:id="5" w:name="_Toc5"/>
      <w:r>
        <w:t>Topics for further research:</w:t>
      </w:r>
      <w:bookmarkEnd w:id="5"/>
    </w:p>
    <w:p>
      <w:pPr>
        <w:spacing w:after="0"/>
        <w:numPr>
          <w:ilvl w:val="0"/>
          <w:numId w:val="2"/>
        </w:numPr>
      </w:pPr>
      <w:r>
        <w:rPr/>
        <w:t xml:space="preserve">Corneal donor preservation risks</w:t>
      </w:r>
    </w:p>
    <w:p>
      <w:pPr>
        <w:spacing w:after="0"/>
        <w:numPr>
          <w:ilvl w:val="0"/>
          <w:numId w:val="2"/>
        </w:numPr>
      </w:pPr>
      <w:r>
        <w:rPr/>
        <w:t xml:space="preserve">Alternatives to corneal donor dehydrator</w:t>
      </w:r>
    </w:p>
    <w:p>
      <w:pPr>
        <w:spacing w:after="0"/>
        <w:numPr>
          <w:ilvl w:val="0"/>
          <w:numId w:val="2"/>
        </w:numPr>
      </w:pPr>
      <w:r>
        <w:rPr/>
        <w:t xml:space="preserve">Factors influencing corneal donor preservation</w:t>
      </w:r>
    </w:p>
    <w:p>
      <w:pPr>
        <w:spacing w:after="0"/>
        <w:numPr>
          <w:ilvl w:val="0"/>
          <w:numId w:val="2"/>
        </w:numPr>
      </w:pPr>
      <w:r>
        <w:rPr/>
        <w:t xml:space="preserve">Long-term corneal donor preservation methods</w:t>
      </w:r>
    </w:p>
    <w:p>
      <w:pPr>
        <w:spacing w:after="0"/>
        <w:numPr>
          <w:ilvl w:val="0"/>
          <w:numId w:val="2"/>
        </w:numPr>
      </w:pPr>
      <w:r>
        <w:rPr/>
        <w:t xml:space="preserve">Corneal donor preservation outcomes</w:t>
      </w:r>
    </w:p>
    <w:p>
      <w:pPr>
        <w:numPr>
          <w:ilvl w:val="0"/>
          <w:numId w:val="2"/>
        </w:numPr>
      </w:pPr>
      <w:r>
        <w:rPr/>
        <w:t xml:space="preserve">Corneal donor preservation complications</w:t>
      </w:r>
    </w:p>
    <w:p>
      <w:pPr>
        <w:pStyle w:val="Heading1"/>
      </w:pPr>
      <w:bookmarkStart w:id="6" w:name="_Toc6"/>
      <w:r>
        <w:t>Report location:</w:t>
      </w:r>
      <w:bookmarkEnd w:id="6"/>
    </w:p>
    <w:p>
      <w:hyperlink r:id="rId8" w:history="1">
        <w:r>
          <w:rPr>
            <w:color w:val="2980b9"/>
            <w:u w:val="single"/>
          </w:rPr>
          <w:t xml:space="preserve">https://www.fullpicture.app/item/c448bbd008d3a12339b04a3d1bf95266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DE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91894/" TargetMode="External"/><Relationship Id="rId8" Type="http://schemas.openxmlformats.org/officeDocument/2006/relationships/hyperlink" Target="https://www.fullpicture.app/item/c448bbd008d3a12339b04a3d1bf952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2023-02-23T12:18:19+01:00</dcterms:created>
  <dcterms:modified xsi:type="dcterms:W3CDTF">2023-02-23T12:18:19+01:00</dcterms:modified>
</cp:coreProperties>
</file>

<file path=docProps/custom.xml><?xml version="1.0" encoding="utf-8"?>
<Properties xmlns="http://schemas.openxmlformats.org/officeDocument/2006/custom-properties" xmlns:vt="http://schemas.openxmlformats.org/officeDocument/2006/docPropsVTypes"/>
</file>