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基于高阶流管建模的九点差分方案 |SPE油藏模拟会议 |OnePetro</w:t>
      </w:r>
      <w:br/>
      <w:hyperlink r:id="rId7" w:history="1">
        <w:r>
          <w:rPr>
            <w:color w:val="2980b9"/>
            <w:u w:val="single"/>
          </w:rPr>
          <w:t xml:space="preserve">https://onepetro.org/spersc/proceedings/91RSS/All-91RSS/SPE-21223-MS/62671?searchresult=1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九点差分方案可以解决数值模拟中的网格取向伪影和模糊问题，特别是在具有渗透性对比的非方形块和储层中。</w:t>
      </w:r>
    </w:p>
    <w:p>
      <w:pPr>
        <w:jc w:val="both"/>
      </w:pPr>
      <w:r>
        <w:rPr/>
        <w:t xml:space="preserve">2. 该方法使用插值计算交错网格上的块间流体流动，并考虑了强烈的储层渗透率对比，包括由不同流体饱和度引起的渗透率对比。</w:t>
      </w:r>
    </w:p>
    <w:p>
      <w:pPr>
        <w:jc w:val="both"/>
      </w:pPr>
      <w:r>
        <w:rPr/>
        <w:t xml:space="preserve">3. 使用高阶修改计算速度，并结合流管和仔细的对流差分相，提供了精确建模所需的几何分量和精度。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对于上述文章，以下是一些批判性分析的见解：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偏见及其来源：文章没有提供足够的背景信息或引用其他研究来支持其主张。它似乎是基于作者自己的观察和经验，可能存在作者的个人偏见。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片面报道：文章只关注了一种特定的数值模拟方法，并没有探讨其他可能的方法或技术。这种片面报道可能导致读者对该方法的过度推崇，而忽视了其他潜在的解决方案。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无根据的主张：文章声称该方法可以解决网格取向伪影和模糊流体锋等问题，但没有提供实际数据或案例来支持这些主张。缺乏实证数据使得读者难以评估该方法的有效性。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缺失的考虑点：文章没有讨论该方法可能存在的局限性或风险。例如，它是否适用于所有类型的油藏？是否需要额外的计算资源？这些考虑点对于读者来说是重要的，但在文章中被忽略了。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所提出主张的缺失证据：尽管文章声称该方法可以精确建模所需的几何分量和精度，但并未提供任何实际的证据或数据来支持这一主张。缺乏实证数据使得读者难以相信该方法的有效性。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未探索的反驳：文章没有探讨其他可能的观点或反对意见。这种单方面的呈现可能导致读者对该方法的盲目接受，而忽视了其他潜在的解决方案或争议。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综上所述，上述文章存在一些潜在偏见、片面报道、无根据的主张、缺失的考虑点和证据，以及未探索的反驳。读者应该保持批判思维，并寻找更多来源和证据来评估该方法的有效性和适用性。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背景信息和引用其他研究来支持主张
</w:t>
      </w:r>
    </w:p>
    <w:p>
      <w:pPr>
        <w:spacing w:after="0"/>
        <w:numPr>
          <w:ilvl w:val="0"/>
          <w:numId w:val="2"/>
        </w:numPr>
      </w:pPr>
      <w:r>
        <w:rPr/>
        <w:t xml:space="preserve">探讨其他可能的方法或技术
</w:t>
      </w:r>
    </w:p>
    <w:p>
      <w:pPr>
        <w:spacing w:after="0"/>
        <w:numPr>
          <w:ilvl w:val="0"/>
          <w:numId w:val="2"/>
        </w:numPr>
      </w:pPr>
      <w:r>
        <w:rPr/>
        <w:t xml:space="preserve">提供实际数据或案例来支持主张
</w:t>
      </w:r>
    </w:p>
    <w:p>
      <w:pPr>
        <w:spacing w:after="0"/>
        <w:numPr>
          <w:ilvl w:val="0"/>
          <w:numId w:val="2"/>
        </w:numPr>
      </w:pPr>
      <w:r>
        <w:rPr/>
        <w:t xml:space="preserve">讨论方法可能存在的局限性或风险
</w:t>
      </w:r>
    </w:p>
    <w:p>
      <w:pPr>
        <w:spacing w:after="0"/>
        <w:numPr>
          <w:ilvl w:val="0"/>
          <w:numId w:val="2"/>
        </w:numPr>
      </w:pPr>
      <w:r>
        <w:rPr/>
        <w:t xml:space="preserve">提供实证数据来支持精确建模的主张
</w:t>
      </w:r>
    </w:p>
    <w:p>
      <w:pPr>
        <w:numPr>
          <w:ilvl w:val="0"/>
          <w:numId w:val="2"/>
        </w:numPr>
      </w:pPr>
      <w:r>
        <w:rPr/>
        <w:t xml:space="preserve">探讨其他可能的观点或反对意见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https://www.fullpicture.app/item/c48ce88d67f3fc65831fbb24fd75f432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7C60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epetro.org/spersc/proceedings/91RSS/All-91RSS/SPE-21223-MS/62671?searchresult=1" TargetMode="External"/><Relationship Id="rId8" Type="http://schemas.openxmlformats.org/officeDocument/2006/relationships/hyperlink" Target="https://www.fullpicture.app/item/c48ce88d67f3fc65831fbb24fd75f43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2024-01-02T01:14:03+01:00</dcterms:created>
  <dcterms:modified xsi:type="dcterms:W3CDTF">2024-01-02T01:14:03+01:00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