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Electrokinetics in nanochannels grafted with poly-zwitterionic brushes | SpringerLink</w:t>
      </w:r>
      <w:br/>
      <w:hyperlink r:id="rId7" w:history="1">
        <w:r>
          <w:rPr>
            <w:color w:val="2980b9"/>
            <w:u w:val="single"/>
          </w:rPr>
          <w:t xml:space="preserve">https://link.springer.com/article/10.1007/s10404-018-2133-6</w:t>
        </w:r>
      </w:hyperlink>
    </w:p>
    <w:p>
      <w:pPr>
        <w:pStyle w:val="Heading1"/>
      </w:pPr>
      <w:bookmarkStart w:id="2" w:name="_Toc2"/>
      <w:r>
        <w:t>Article summary:</w:t>
      </w:r>
      <w:bookmarkEnd w:id="2"/>
    </w:p>
    <w:p>
      <w:pPr>
        <w:jc w:val="both"/>
      </w:pPr>
      <w:r>
        <w:rPr/>
        <w:t xml:space="preserve">1. Functionalizing nanoscale interfaces with polymer and polyelectrolyte brushes has been used for a variety of applications.</w:t>
      </w:r>
    </w:p>
    <w:p>
      <w:pPr>
        <w:jc w:val="both"/>
      </w:pPr>
      <w:r>
        <w:rPr/>
        <w:t xml:space="preserve">2. This paper studies the electrohydrodynamics in a nanochannel grafted with poly-zwitterion (PZI) molecules existing in a “brush” like state.</w:t>
      </w:r>
    </w:p>
    <w:p>
      <w:pPr>
        <w:jc w:val="both"/>
      </w:pPr>
      <w:r>
        <w:rPr/>
        <w:t xml:space="preserve">3. The paper provides detailed calculations of the pH-responsive electric double layer electrostatics and how that electrostatics regulates the flow and the overall electrokinetics in the presence of an externally imposed pressure-driven transport, leading to the generation of an electrokinetic power.</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generally reliable and trustworthy, as it provides detailed calculations and evidence for its claims. The authors have explored both sides of the argument, providing evidence for their claims while also noting potential risks associated with their research. The article does not appear to be one-sided or promotional in nature, as it presents both sides equally and does not make unsupported claims or omit counterarguments. Furthermore, all points of consideration are explored thoroughly, with evidence provided for each claim made. There is no missing evidence or unexplored counterarguments present in the article, making it a reliable source of information on this topic.</w:t>
      </w:r>
    </w:p>
    <w:p>
      <w:pPr>
        <w:pStyle w:val="Heading1"/>
      </w:pPr>
      <w:bookmarkStart w:id="5" w:name="_Toc5"/>
      <w:r>
        <w:t>Topics for further research:</w:t>
      </w:r>
      <w:bookmarkEnd w:id="5"/>
    </w:p>
    <w:p>
      <w:pPr>
        <w:spacing w:after="0"/>
        <w:numPr>
          <w:ilvl w:val="0"/>
          <w:numId w:val="2"/>
        </w:numPr>
      </w:pPr>
      <w:r>
        <w:rPr/>
        <w:t xml:space="preserve">Risk-return tradeoff in investing</w:t>
      </w:r>
    </w:p>
    <w:p>
      <w:pPr>
        <w:spacing w:after="0"/>
        <w:numPr>
          <w:ilvl w:val="0"/>
          <w:numId w:val="2"/>
        </w:numPr>
      </w:pPr>
      <w:r>
        <w:rPr/>
        <w:t xml:space="preserve">Portfolio diversification strategies</w:t>
      </w:r>
    </w:p>
    <w:p>
      <w:pPr>
        <w:spacing w:after="0"/>
        <w:numPr>
          <w:ilvl w:val="0"/>
          <w:numId w:val="2"/>
        </w:numPr>
      </w:pPr>
      <w:r>
        <w:rPr/>
        <w:t xml:space="preserve">Asset allocation strategies</w:t>
      </w:r>
    </w:p>
    <w:p>
      <w:pPr>
        <w:spacing w:after="0"/>
        <w:numPr>
          <w:ilvl w:val="0"/>
          <w:numId w:val="2"/>
        </w:numPr>
      </w:pPr>
      <w:r>
        <w:rPr/>
        <w:t xml:space="preserve">Modern portfolio theory</w:t>
      </w:r>
    </w:p>
    <w:p>
      <w:pPr>
        <w:spacing w:after="0"/>
        <w:numPr>
          <w:ilvl w:val="0"/>
          <w:numId w:val="2"/>
        </w:numPr>
      </w:pPr>
      <w:r>
        <w:rPr/>
        <w:t xml:space="preserve">Behavioral finance theory</w:t>
      </w:r>
    </w:p>
    <w:p>
      <w:pPr>
        <w:numPr>
          <w:ilvl w:val="0"/>
          <w:numId w:val="2"/>
        </w:numPr>
      </w:pPr>
      <w:r>
        <w:rPr/>
        <w:t xml:space="preserve">Investment risk management</w:t>
      </w:r>
    </w:p>
    <w:p>
      <w:pPr>
        <w:pStyle w:val="Heading1"/>
      </w:pPr>
      <w:bookmarkStart w:id="6" w:name="_Toc6"/>
      <w:r>
        <w:t>Report location:</w:t>
      </w:r>
      <w:bookmarkEnd w:id="6"/>
    </w:p>
    <w:p>
      <w:hyperlink r:id="rId8" w:history="1">
        <w:r>
          <w:rPr>
            <w:color w:val="2980b9"/>
            <w:u w:val="single"/>
          </w:rPr>
          <w:t xml:space="preserve">https://www.fullpicture.app/item/c60b041084af921f914d2605969e2f8c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CDDA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0404-018-2133-6" TargetMode="External"/><Relationship Id="rId8" Type="http://schemas.openxmlformats.org/officeDocument/2006/relationships/hyperlink" Target="https://www.fullpicture.app/item/c60b041084af921f914d2605969e2f8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2023-02-23T05:33:46+01:00</dcterms:created>
  <dcterms:modified xsi:type="dcterms:W3CDTF">2023-02-23T05:33:46+01:00</dcterms:modified>
</cp:coreProperties>
</file>

<file path=docProps/custom.xml><?xml version="1.0" encoding="utf-8"?>
<Properties xmlns="http://schemas.openxmlformats.org/officeDocument/2006/custom-properties" xmlns:vt="http://schemas.openxmlformats.org/officeDocument/2006/docPropsVTypes"/>
</file>