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Defining Pseudorange Integrity - Overbounding</w:t>
      </w:r>
      <w:br/>
      <w:hyperlink r:id="rId7" w:history="1">
        <w:r>
          <w:rPr>
            <w:color w:val="2980b9"/>
            <w:u w:val="single"/>
          </w:rPr>
          <w:t xml:space="preserve">https://www.ion.org/publications/abstract.cfm?articleID=1603</w:t>
        </w:r>
      </w:hyperlink>
    </w:p>
    <w:p>
      <w:pPr>
        <w:pStyle w:val="Heading1"/>
      </w:pPr>
      <w:bookmarkStart w:id="2" w:name="_Toc2"/>
      <w:r>
        <w:t>Article summary:</w:t>
      </w:r>
      <w:bookmarkEnd w:id="2"/>
    </w:p>
    <w:p>
      <w:pPr>
        <w:jc w:val="both"/>
      </w:pPr>
      <w:r>
        <w:rPr/>
        <w:t xml:space="preserve">1. The International Civil Aviation Organization (ICAO) has defined an integrity requirement of 10-7 per approach for Category 1 precision approach.</w:t>
      </w:r>
    </w:p>
    <w:p>
      <w:pPr>
        <w:jc w:val="both"/>
      </w:pPr>
      <w:r>
        <w:rPr/>
        <w:t xml:space="preserve">2. Mathematical bounds on the position error have been defined to evaluate this requirement, known as horizontal and vertical protection levels (HPL and VPL).</w:t>
      </w:r>
    </w:p>
    <w:p>
      <w:pPr>
        <w:jc w:val="both"/>
      </w:pPr>
      <w:r>
        <w:rPr/>
        <w:t xml:space="preserve">3. This paper proves that the assumption for a zero-mean, Normal error distribution can be replaced by a requirement that the error distribution is symmetric, unimodal, and whose cumulative distribution function (cdf) is bounded by a Normal error distribution.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“Defining Pseudorange Integrity - Overbounding” provides an overview of the requirements set forth by the International Civil Aviation Organization (ICAO) for Category 1 precision approach and how mathematical bounds on the position error can be used to evaluate these requirements. The article then goes on to discuss how the assumption of a zero-mean, normal error distribution can be replaced with a more general requirement that the error distribution is symmetric, unimodal, and bounded by a normal error distribution. </w:t>
      </w:r>
    </w:p>
    <w:p>
      <w:pPr>
        <w:jc w:val="both"/>
      </w:pPr>
      <w:r>
        <w:rPr/>
        <w:t xml:space="preserve">The article is generally reliable in its presentation of information and does not appear to contain any biases or unsupported claims. It provides clear explanations of the concepts discussed and cites relevant sources such as RTCA and ICAC documents. The article also provides three methods for inflating the variance of the assumed normal error model when non-zero means are present. </w:t>
      </w:r>
    </w:p>
    <w:p>
      <w:pPr>
        <w:jc w:val="both"/>
      </w:pPr>
      <w:r>
        <w:rPr/>
        <w:t xml:space="preserve">However, there are some points which could have been explored further in order to provide a more comprehensive understanding of pseudorange integrity. For example, while it discusses how non-zero means can be accounted for by inflating the variance of the assumed normal error model, it does not provide any evidence or examples to support this claim. Additionally, while it mentions that testing has indicated that there can be small residual means in pseudorange errors, it does not explore what these residual means might be or how they might affect accuracy or reliability. </w:t>
      </w:r>
    </w:p>
    <w:p>
      <w:pPr>
        <w:jc w:val="both"/>
      </w:pPr>
      <w:r>
        <w:rPr/>
        <w:t xml:space="preserve">In conclusion, while this article provides an informative overview of pseudorange integrity requirements and their evaluation methods, it could benefit from further exploration into some of its topics in order to provide a more comprehensive understanding of pseudorange integrity issues.</w:t>
      </w:r>
    </w:p>
    <w:p>
      <w:pPr>
        <w:pStyle w:val="Heading1"/>
      </w:pPr>
      <w:bookmarkStart w:id="5" w:name="_Toc5"/>
      <w:r>
        <w:t>Topics for further research:</w:t>
      </w:r>
      <w:bookmarkEnd w:id="5"/>
    </w:p>
    <w:p>
      <w:pPr>
        <w:spacing w:after="0"/>
        <w:numPr>
          <w:ilvl w:val="0"/>
          <w:numId w:val="2"/>
        </w:numPr>
      </w:pPr>
      <w:r>
        <w:rPr/>
        <w:t xml:space="preserve">Pseudorange error residual means</w:t>
      </w:r>
    </w:p>
    <w:p>
      <w:pPr>
        <w:spacing w:after="0"/>
        <w:numPr>
          <w:ilvl w:val="0"/>
          <w:numId w:val="2"/>
        </w:numPr>
      </w:pPr>
      <w:r>
        <w:rPr/>
        <w:t xml:space="preserve">Pseudorange accuracy and reliability</w:t>
      </w:r>
    </w:p>
    <w:p>
      <w:pPr>
        <w:spacing w:after="0"/>
        <w:numPr>
          <w:ilvl w:val="0"/>
          <w:numId w:val="2"/>
        </w:numPr>
      </w:pPr>
      <w:r>
        <w:rPr/>
        <w:t xml:space="preserve">Non-zero mean error distributions</w:t>
      </w:r>
    </w:p>
    <w:p>
      <w:pPr>
        <w:spacing w:after="0"/>
        <w:numPr>
          <w:ilvl w:val="0"/>
          <w:numId w:val="2"/>
        </w:numPr>
      </w:pPr>
      <w:r>
        <w:rPr/>
        <w:t xml:space="preserve">Inflating variance of normal error model</w:t>
      </w:r>
    </w:p>
    <w:p>
      <w:pPr>
        <w:spacing w:after="0"/>
        <w:numPr>
          <w:ilvl w:val="0"/>
          <w:numId w:val="2"/>
        </w:numPr>
      </w:pPr>
      <w:r>
        <w:rPr/>
        <w:t xml:space="preserve">Symmetric and unimodal error distributions</w:t>
      </w:r>
    </w:p>
    <w:p>
      <w:pPr>
        <w:numPr>
          <w:ilvl w:val="0"/>
          <w:numId w:val="2"/>
        </w:numPr>
      </w:pPr>
      <w:r>
        <w:rPr/>
        <w:t xml:space="preserve">ICAO Category 1 precision approach requirements</w:t>
      </w:r>
    </w:p>
    <w:p>
      <w:pPr>
        <w:pStyle w:val="Heading1"/>
      </w:pPr>
      <w:bookmarkStart w:id="6" w:name="_Toc6"/>
      <w:r>
        <w:t>Report location:</w:t>
      </w:r>
      <w:bookmarkEnd w:id="6"/>
    </w:p>
    <w:p>
      <w:hyperlink r:id="rId8" w:history="1">
        <w:r>
          <w:rPr>
            <w:color w:val="2980b9"/>
            <w:u w:val="single"/>
          </w:rPr>
          <w:t xml:space="preserve">https://www.fullpicture.app/item/c7d3382713799669a9b15401f79fb7c4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92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on.org/publications/abstract.cfm?articleID=1603" TargetMode="External"/><Relationship Id="rId8" Type="http://schemas.openxmlformats.org/officeDocument/2006/relationships/hyperlink" Target="https://www.fullpicture.app/item/c7d3382713799669a9b15401f79fb7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2023-02-23T09:57:47+01:00</dcterms:created>
  <dcterms:modified xsi:type="dcterms:W3CDTF">2023-02-23T09:57:47+01:00</dcterms:modified>
</cp:coreProperties>
</file>

<file path=docProps/custom.xml><?xml version="1.0" encoding="utf-8"?>
<Properties xmlns="http://schemas.openxmlformats.org/officeDocument/2006/custom-properties" xmlns:vt="http://schemas.openxmlformats.org/officeDocument/2006/docPropsVTypes"/>
</file>