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中国农业科技进步贡献率结构演变及提升路径 - 中国知网</w:t></w:r><w:br/><w:hyperlink r:id="rId7" w:history="1"><w:r><w:rPr><w:color w:val="2980b9"/><w:u w:val="single"/></w:rPr><w:t xml:space="preserve">https://kns.cnki.net/kcms2/article/abstract?v=3uoqIhG8C45S0n9fL2suRadTyEVl2pW9UrhTDCdPD677DFwSL-PGY9w_dpCEAfrJbptDbXurDPfsf018MjrdIf9Z-u7w6g6k&uniplatform=NZKPT</w:t></w:r></w:hyperlink></w:p><w:p><w:pPr><w:pStyle w:val="Heading1"/></w:pPr><w:bookmarkStart w:id="2" w:name="_Toc2"/><w:r><w:t>Article summary:</w:t></w:r><w:bookmarkEnd w:id="2"/></w:p><w:p><w:pPr><w:jc w:val="both"/></w:pPr><w:r><w:rPr/><w:t xml:space="preserve">1. This article examines the evolution of the contribution rate of agricultural technology progress in China from 1990 to 2020, and further breaks down agricultural technology progress into neutral technology progress, factor enhancement technology progress, etc.</w:t></w:r></w:p><w:p><w:pPr><w:jc w:val="both"/></w:pPr><w:r><w:rPr/><w:t xml:space="preserve">2. Results show that the speed of agricultural technology progress in China was 2.44% between 1990 and 2020, with neutral technology progress becoming the dominant force driving agricultural technology progress. The contribution rate of agricultural technology progress has rapidly increased from 35% to over 60%.</w:t></w:r></w:p><w:p><w:pPr><w:jc w:val="both"/></w:pPr><w:r><w:rPr/><w:t xml:space="preserve">3. Suggestions are provided on how to promote the level of contribution rate of agricultural technology progress in China, such as accelerating technological innovation, restructuring the system for promoting agricultural technologies, and increasing support for agriculture.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use of a theoretical framework based on factor-based technical advancement theory and its detailed analysis of Chinese agricultural technology advancement contributions rates from 1990 to 2020. The article also provides suggestions on how to promote the level of contribution rate of agricultural technology progress in China which are supported by evidence and research. However, there is a lack of exploration into counterarguments or alternative perspectives which could be beneficial for providing a more comprehensive understanding of the topic. Additionally, there is no mention or discussion about potential risks associated with implementing these suggested measures which should be taken into consideration when assessing their effectiveness.</w:t></w:r></w:p><w:p><w:pPr><w:pStyle w:val="Heading1"/></w:pPr><w:bookmarkStart w:id="5" w:name="_Toc5"/><w:r><w:t>Topics for further research:</w:t></w:r><w:bookmarkEnd w:id="5"/></w:p><w:p><w:pPr><w:spacing w:after="0"/><w:numPr><w:ilvl w:val="0"/><w:numId w:val="2"/></w:numPr></w:pPr><w:r><w:rPr/><w:t xml:space="preserve">Agricultural technology advancement risks</w:t></w:r></w:p><w:p><w:pPr><w:spacing w:after="0"/><w:numPr><w:ilvl w:val="0"/><w:numId w:val="2"/></w:numPr></w:pPr><w:r><w:rPr/><w:t xml:space="preserve">Alternative perspectives on Chinese agricultural technology</w:t></w:r></w:p><w:p><w:pPr><w:spacing w:after="0"/><w:numPr><w:ilvl w:val="0"/><w:numId w:val="2"/></w:numPr></w:pPr><w:r><w:rPr/><w:t xml:space="preserve">Impact of agricultural technology on rural communities</w:t></w:r></w:p><w:p><w:pPr><w:spacing w:after="0"/><w:numPr><w:ilvl w:val="0"/><w:numId w:val="2"/></w:numPr></w:pPr><w:r><w:rPr/><w:t xml:space="preserve">Challenges of agricultural technology implementation</w:t></w:r></w:p><w:p><w:pPr><w:spacing w:after="0"/><w:numPr><w:ilvl w:val="0"/><w:numId w:val="2"/></w:numPr></w:pPr><w:r><w:rPr/><w:t xml:space="preserve">Benefits of agricultural technology advancement</w:t></w:r></w:p><w:p><w:pPr><w:numPr><w:ilvl w:val="0"/><w:numId w:val="2"/></w:numPr></w:pPr><w:r><w:rPr/><w:t xml:space="preserve">International agricultural technology comparison</w:t></w:r></w:p><w:p><w:pPr><w:pStyle w:val="Heading1"/></w:pPr><w:bookmarkStart w:id="6" w:name="_Toc6"/><w:r><w:t>Report location:</w:t></w:r><w:bookmarkEnd w:id="6"/></w:p><w:p><w:hyperlink r:id="rId8" w:history="1"><w:r><w:rPr><w:color w:val="2980b9"/><w:u w:val="single"/></w:rPr><w:t xml:space="preserve">https://www.fullpicture.app/item/c8b0af49412676aeffae03e561fa49dd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B35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77DFwSL-PGY9w_dpCEAfrJbptDbXurDPfsf018MjrdIf9Z-u7w6g6k&amp;uniplatform=NZKPT" TargetMode="External"/><Relationship Id="rId8" Type="http://schemas.openxmlformats.org/officeDocument/2006/relationships/hyperlink" Target="https://www.fullpicture.app/item/c8b0af49412676aeffae03e561fa49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2023-02-27T21:14:17+01:00</dcterms:created>
  <dcterms:modified xsi:type="dcterms:W3CDTF">2023-02-27T21:14:17+01:00</dcterms:modified>
</cp:coreProperties>
</file>

<file path=docProps/custom.xml><?xml version="1.0" encoding="utf-8"?>
<Properties xmlns="http://schemas.openxmlformats.org/officeDocument/2006/custom-properties" xmlns:vt="http://schemas.openxmlformats.org/officeDocument/2006/docPropsVTypes"/>
</file>