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 to Invest $1 Million: World Cup, Energy, Munis, Farmland</w:t>
      </w:r>
      <w:br/>
      <w:hyperlink r:id="rId7" w:history="1">
        <w:r>
          <w:rPr>
            <w:color w:val="2980b9"/>
            <w:u w:val="single"/>
          </w:rPr>
          <w:t xml:space="preserve">https://www.bloomberg.com/features/how-to-invest-a-million-dollars/?srnd=premium</w:t>
        </w:r>
      </w:hyperlink>
    </w:p>
    <w:p>
      <w:pPr>
        <w:pStyle w:val="Heading1"/>
      </w:pPr>
      <w:bookmarkStart w:id="2" w:name="_Toc2"/>
      <w:r>
        <w:t>Article summary:</w:t>
      </w:r>
      <w:bookmarkEnd w:id="2"/>
    </w:p>
    <w:p>
      <w:pPr>
        <w:jc w:val="both"/>
      </w:pPr>
      <w:r>
        <w:rPr/>
        <w:t xml:space="preserve">1. Investors are uncertain about where to put their money due to the current economic climate.</w:t>
      </w:r>
    </w:p>
    <w:p>
      <w:pPr>
        <w:jc w:val="both"/>
      </w:pPr>
      <w:r>
        <w:rPr/>
        <w:t xml:space="preserve">2. Six experts provide advice on where to invest $1 million, including municipal bonds, European and Japanese equities, and dividend-paying US stocks.</w:t>
      </w:r>
    </w:p>
    <w:p>
      <w:pPr>
        <w:jc w:val="both"/>
      </w:pPr>
      <w:r>
        <w:rPr/>
        <w:t xml:space="preserve">3. Experts also suggest investing in farmland or a personal passion project such as a language school or VIP trip to Qatar for the World Cup.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expert opinions on where to invest $1 million in the current economic climate. The article provides a balanced view of different investment options, from municipal bonds to energy infrastructure companies, and offers suggestions for personal passion projects such as investing in farmland or taking a VIP trip to Qatar for the World Cup. The article does not appear to be biased towards any particular option, nor does it make unsupported claims or present only one side of an argument. </w:t>
      </w:r>
    </w:p>
    <w:p>
      <w:pPr>
        <w:jc w:val="both"/>
      </w:pPr>
      <w:r>
        <w:rPr/>
        <w:t xml:space="preserve">The article could have explored counterarguments more thoroughly by providing more detail on potential risks associated with each investment option discussed. For example, while municipal bonds may offer low risk and high returns, they may also be subject to default risk if the municipality is unable to pay back its debt obligations. Additionally, while investing in energy infrastructure companies may provide inflation protection due to their replacement cost rising over time, there is also the risk that these companies may not perform as expected due to changes in energy demand or technological advances that render them obsolete. </w:t>
      </w:r>
    </w:p>
    <w:p>
      <w:pPr>
        <w:jc w:val="both"/>
      </w:pPr>
      <w:r>
        <w:rPr/>
        <w:t xml:space="preserve">The article could also have provided more detail on how investors can go about investing in each option discussed (e.g., what types of investments are available for each option). Furthermore, it could have included information on other potential investment options that were not discussed (e.g., real estate investments). </w:t>
      </w:r>
    </w:p>
    <w:p>
      <w:pPr>
        <w:jc w:val="both"/>
      </w:pPr>
      <w:r>
        <w:rPr/>
        <w:t xml:space="preserve">In conclusion, this article provides a generally reliable overview of different investment options available for those with $1 million looking for low-risk investments with high returns; however, it could benefit from exploring counterarguments more thoroughly and providing more detail on how investors can go about investing in each option discussed.</w:t>
      </w:r>
    </w:p>
    <w:p>
      <w:pPr>
        <w:pStyle w:val="Heading1"/>
      </w:pPr>
      <w:bookmarkStart w:id="5" w:name="_Toc5"/>
      <w:r>
        <w:t>Topics for further research:</w:t>
      </w:r>
      <w:bookmarkEnd w:id="5"/>
    </w:p>
    <w:p>
      <w:pPr>
        <w:spacing w:after="0"/>
        <w:numPr>
          <w:ilvl w:val="0"/>
          <w:numId w:val="2"/>
        </w:numPr>
      </w:pPr>
      <w:r>
        <w:rPr/>
        <w:t xml:space="preserve">Municipal bond default risk</w:t>
      </w:r>
    </w:p>
    <w:p>
      <w:pPr>
        <w:spacing w:after="0"/>
        <w:numPr>
          <w:ilvl w:val="0"/>
          <w:numId w:val="2"/>
        </w:numPr>
      </w:pPr>
      <w:r>
        <w:rPr/>
        <w:t xml:space="preserve">Energy infrastructure company performance</w:t>
      </w:r>
    </w:p>
    <w:p>
      <w:pPr>
        <w:spacing w:after="0"/>
        <w:numPr>
          <w:ilvl w:val="0"/>
          <w:numId w:val="2"/>
        </w:numPr>
      </w:pPr>
      <w:r>
        <w:rPr/>
        <w:t xml:space="preserve">Investment options for $1 million</w:t>
      </w:r>
    </w:p>
    <w:p>
      <w:pPr>
        <w:spacing w:after="0"/>
        <w:numPr>
          <w:ilvl w:val="0"/>
          <w:numId w:val="2"/>
        </w:numPr>
      </w:pPr>
      <w:r>
        <w:rPr/>
        <w:t xml:space="preserve">Real estate investments</w:t>
      </w:r>
    </w:p>
    <w:p>
      <w:pPr>
        <w:spacing w:after="0"/>
        <w:numPr>
          <w:ilvl w:val="0"/>
          <w:numId w:val="2"/>
        </w:numPr>
      </w:pPr>
      <w:r>
        <w:rPr/>
        <w:t xml:space="preserve">Inflation protection investments</w:t>
      </w:r>
    </w:p>
    <w:p>
      <w:pPr>
        <w:numPr>
          <w:ilvl w:val="0"/>
          <w:numId w:val="2"/>
        </w:numPr>
      </w:pPr>
      <w:r>
        <w:rPr/>
        <w:t xml:space="preserve">VIP trip to Qatar World Cup</w:t>
      </w:r>
    </w:p>
    <w:p>
      <w:pPr>
        <w:pStyle w:val="Heading1"/>
      </w:pPr>
      <w:bookmarkStart w:id="6" w:name="_Toc6"/>
      <w:r>
        <w:t>Report location:</w:t>
      </w:r>
      <w:bookmarkEnd w:id="6"/>
    </w:p>
    <w:p>
      <w:hyperlink r:id="rId8" w:history="1">
        <w:r>
          <w:rPr>
            <w:color w:val="2980b9"/>
            <w:u w:val="single"/>
          </w:rPr>
          <w:t xml:space="preserve">https://www.fullpicture.app/item/ca0e6921b6bbc2eb40b3802a97bb83b9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4A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features/how-to-invest-a-million-dollars/?srnd=premium" TargetMode="External"/><Relationship Id="rId8" Type="http://schemas.openxmlformats.org/officeDocument/2006/relationships/hyperlink" Target="https://www.fullpicture.app/item/ca0e6921b6bbc2eb40b3802a97bb83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2023-02-25T23:10:03+01:00</dcterms:created>
  <dcterms:modified xsi:type="dcterms:W3CDTF">2023-02-25T23:10:03+01:00</dcterms:modified>
</cp:coreProperties>
</file>

<file path=docProps/custom.xml><?xml version="1.0" encoding="utf-8"?>
<Properties xmlns="http://schemas.openxmlformats.org/officeDocument/2006/custom-properties" xmlns:vt="http://schemas.openxmlformats.org/officeDocument/2006/docPropsVTypes"/>
</file>