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 vehicle adoption in Sweden and the impact of local policy instruments</w:t>
      </w:r>
      <w:br/>
      <w:hyperlink r:id="rId7" w:history="1">
        <w:r>
          <w:rPr>
            <w:color w:val="2980b9"/>
            <w:u w:val="single"/>
          </w:rPr>
          <w:t xml:space="preserve">https://ideas.repec.org/a/eee/enepol/v121y2018icp584-596.html</w:t>
        </w:r>
      </w:hyperlink>
    </w:p>
    <w:p>
      <w:pPr>
        <w:pStyle w:val="Heading1"/>
      </w:pPr>
      <w:bookmarkStart w:id="2" w:name="_Toc2"/>
      <w:r>
        <w:t>Article summary:</w:t>
      </w:r>
      <w:bookmarkEnd w:id="2"/>
    </w:p>
    <w:p>
      <w:pPr>
        <w:jc w:val="both"/>
      </w:pPr>
      <w:r>
        <w:rPr/>
        <w:t xml:space="preserve">1. This study examines the impact of local policy instruments on the adoption rate of electric vehicles in Sweden.</w:t>
      </w:r>
    </w:p>
    <w:p>
      <w:pPr>
        <w:jc w:val="both"/>
      </w:pPr>
      <w:r>
        <w:rPr/>
        <w:t xml:space="preserve">2. The results suggest that an increased number of public charging points increases the adoption rate, especially in urban municipalities.</w:t>
      </w:r>
    </w:p>
    <w:p>
      <w:pPr>
        <w:jc w:val="both"/>
      </w:pPr>
      <w:r>
        <w:rPr/>
        <w:t xml:space="preserve">3. Public procurement of battery electric vehicles has the potential to be an effective policy instrument, and adjusting policy instruments to the specific characteristics of municipalities can increase their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“Electric Vehicle Adoption in Sweden and the Impact of Local Policy Instruments” is a well-researched and comprehensive analysis of the effects of local policy instruments on electric vehicle adoption in Sweden. The authors have used panel data between 2010 and 2016 to estimate the effect of local policy instruments on newly registered battery electric vehicles in Swedish municipalities, providing a detailed overview of how different policies can influence EV adoption rates.</w:t>
      </w:r>
    </w:p>
    <w:p>
      <w:pPr>
        <w:jc w:val="both"/>
      </w:pPr>
      <w:r>
        <w:rPr/>
        <w:t xml:space="preserve">The article is generally reliable and trustworthy, as it provides evidence for its claims through empirical research and data analysis. The authors have also provided a comprehensive list of references which support their findings, demonstrating that they have conducted thorough research into this topic. Furthermore, they have presented both sides equally by considering both positive and negative impacts that local policy instruments may have on EV adoption rates.</w:t>
      </w:r>
    </w:p>
    <w:p>
      <w:pPr>
        <w:jc w:val="both"/>
      </w:pPr>
      <w:r>
        <w:rPr/>
        <w:t xml:space="preserve">However, there are some areas where the article could be improved upon. For example, while it does provide evidence for its claims, it does not explore any counterarguments or alternative perspectives which could challenge its findings. Additionally, while it does consider both positive and negative impacts that local policy instruments may have on EV adoption rates, it does not discuss any possible risks associated with these policies or how they might be mitigated. Finally, while it provides a comprehensive list of references which support its findings, it does not provide any sources which contradict them or offer alternative perspectives on this issue.</w:t>
      </w:r>
    </w:p>
    <w:p>
      <w:pPr>
        <w:jc w:val="both"/>
      </w:pPr>
      <w:r>
        <w:rPr/>
        <w:t xml:space="preserve">In conclusion, overall this article is reliable and trustworthy due to its use of empirical research and data analysis to support its claims. However, there are some areas where it could be improved upon by exploring counterarguments or alternative perspectives as well as discussing possible risks associated with local policy instruments for EV adoption rates and how these might be mitigated.</w:t>
      </w:r>
    </w:p>
    <w:p>
      <w:pPr>
        <w:pStyle w:val="Heading1"/>
      </w:pPr>
      <w:bookmarkStart w:id="5" w:name="_Toc5"/>
      <w:r>
        <w:t>Topics for further research:</w:t>
      </w:r>
      <w:bookmarkEnd w:id="5"/>
    </w:p>
    <w:p>
      <w:pPr>
        <w:spacing w:after="0"/>
        <w:numPr>
          <w:ilvl w:val="0"/>
          <w:numId w:val="2"/>
        </w:numPr>
      </w:pPr>
      <w:r>
        <w:rPr/>
        <w:t xml:space="preserve">Electric vehicle adoption risks</w:t>
      </w:r>
    </w:p>
    <w:p>
      <w:pPr>
        <w:spacing w:after="0"/>
        <w:numPr>
          <w:ilvl w:val="0"/>
          <w:numId w:val="2"/>
        </w:numPr>
      </w:pPr>
      <w:r>
        <w:rPr/>
        <w:t xml:space="preserve">Mitigating electric vehicle adoption risks</w:t>
      </w:r>
    </w:p>
    <w:p>
      <w:pPr>
        <w:spacing w:after="0"/>
        <w:numPr>
          <w:ilvl w:val="0"/>
          <w:numId w:val="2"/>
        </w:numPr>
      </w:pPr>
      <w:r>
        <w:rPr/>
        <w:t xml:space="preserve">Alternative perspectives on electric vehicle adoption</w:t>
      </w:r>
    </w:p>
    <w:p>
      <w:pPr>
        <w:spacing w:after="0"/>
        <w:numPr>
          <w:ilvl w:val="0"/>
          <w:numId w:val="2"/>
        </w:numPr>
      </w:pPr>
      <w:r>
        <w:rPr/>
        <w:t xml:space="preserve">Counterarguments to electric vehicle adoption</w:t>
      </w:r>
    </w:p>
    <w:p>
      <w:pPr>
        <w:spacing w:after="0"/>
        <w:numPr>
          <w:ilvl w:val="0"/>
          <w:numId w:val="2"/>
        </w:numPr>
      </w:pPr>
      <w:r>
        <w:rPr/>
        <w:t xml:space="preserve">Local policy instruments for electric vehicle adoption</w:t>
      </w:r>
    </w:p>
    <w:p>
      <w:pPr>
        <w:numPr>
          <w:ilvl w:val="0"/>
          <w:numId w:val="2"/>
        </w:numPr>
      </w:pPr>
      <w:r>
        <w:rPr/>
        <w:t xml:space="preserve">Impact of local policy instruments on electric vehicle adoption</w:t>
      </w:r>
    </w:p>
    <w:p>
      <w:pPr>
        <w:pStyle w:val="Heading1"/>
      </w:pPr>
      <w:bookmarkStart w:id="6" w:name="_Toc6"/>
      <w:r>
        <w:t>Report location:</w:t>
      </w:r>
      <w:bookmarkEnd w:id="6"/>
    </w:p>
    <w:p>
      <w:hyperlink r:id="rId8" w:history="1">
        <w:r>
          <w:rPr>
            <w:color w:val="2980b9"/>
            <w:u w:val="single"/>
          </w:rPr>
          <w:t xml:space="preserve">https://www.fullpicture.app/item/ca93e40a18a6eb70617d3631845a9545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97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eee/enepol/v121y2018icp584-596.html" TargetMode="External"/><Relationship Id="rId8" Type="http://schemas.openxmlformats.org/officeDocument/2006/relationships/hyperlink" Target="https://www.fullpicture.app/item/ca93e40a18a6eb70617d3631845a9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2023-03-05T17:13:19+01:00</dcterms:created>
  <dcterms:modified xsi:type="dcterms:W3CDTF">2023-03-05T17:13:19+01:00</dcterms:modified>
</cp:coreProperties>
</file>

<file path=docProps/custom.xml><?xml version="1.0" encoding="utf-8"?>
<Properties xmlns="http://schemas.openxmlformats.org/officeDocument/2006/custom-properties" xmlns:vt="http://schemas.openxmlformats.org/officeDocument/2006/docPropsVTypes"/>
</file>