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Switzerland Supreme Court Clarifies VAT Obligations for Rental, Accommodation Services</w:t>
      </w:r>
      <w:br/>
      <w:hyperlink r:id="rId7" w:history="1">
        <w:r>
          <w:rPr>
            <w:color w:val="2980b9"/>
            <w:u w:val="single"/>
          </w:rPr>
          <w:t xml:space="preserve">https://news.bloombergtax.com/daily-tax-report-international/switzerland-supreme-court-clarifies-vat-obligations-for-rental-accommodation-services</w:t>
        </w:r>
      </w:hyperlink>
    </w:p>
    <w:p>
      <w:pPr>
        <w:pStyle w:val="Heading1"/>
      </w:pPr>
      <w:bookmarkStart w:id="2" w:name="_Toc2"/>
      <w:r>
        <w:t>Article summary:</w:t>
      </w:r>
      <w:bookmarkEnd w:id="2"/>
    </w:p>
    <w:p>
      <w:pPr>
        <w:jc w:val="both"/>
      </w:pPr>
      <w:r>
        <w:rPr/>
        <w:t xml:space="preserve">1. La decisione della Swiss Federal Supreme Court del 21 novembre ha chiarito gli obblighi IVA per i servizi di affitto e alloggio.</w:t>
      </w:r>
    </w:p>
    <w:p>
      <w:pPr>
        <w:jc w:val="both"/>
      </w:pPr>
      <w:r>
        <w:rPr/>
        <w:t xml:space="preserve">2. Un'azienda inquilina svizzera ha subaffittato un chalet alla sua casa madre con sede nel Regno Unito, fatturando il subaffitto alla casa madre a un'aliquota IVA speciale come servizi di alloggio.</w:t>
      </w:r>
    </w:p>
    <w:p>
      <w:pPr>
        <w:jc w:val="both"/>
      </w:pPr>
      <w:r>
        <w:rPr/>
        <w:t xml:space="preserve">3. Dopo un'ispezione, l'agenzia fiscale ha imposto una responsabilità IVA aggiuntiva all'azienda inquilina, che ha fatto ricorso contro la decisione dell'agenzia e della corte amministrativa fino alla decisione della supreme court che ha confermato l'imposizione dell'IVA aggiuntiva.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L'articolo fornisce informazioni sulla Decisione n. 2C_563/2022 della Corte Suprema Federale Svizzera, che ha chiarito le obbligazioni IVA per i servizi di affitto e alloggio. Tuttavia, l'articolo sembra essere molto tecnico e specifico, rivolgendosi principalmente a professionisti del settore fiscale e contabile.</w:t>
      </w:r>
    </w:p>
    <w:p>
      <w:pPr>
        <w:jc w:val="both"/>
      </w:pPr>
      <w:r>
        <w:rPr/>
        <w:t xml:space="preserve"/>
      </w:r>
    </w:p>
    <w:p>
      <w:pPr>
        <w:jc w:val="both"/>
      </w:pPr>
      <w:r>
        <w:rPr/>
        <w:t xml:space="preserve">Uno dei potenziali pregiudizi dell'articolo potrebbe essere la mancanza di una spiegazione più accessibile per i lettori non esperti in materia fiscale. Inoltre, potrebbe mancare un confronto con altre decisioni simili prese da corti internazionali o europee per contestualizzare meglio il caso.</w:t>
      </w:r>
    </w:p>
    <w:p>
      <w:pPr>
        <w:jc w:val="both"/>
      </w:pPr>
      <w:r>
        <w:rPr/>
        <w:t xml:space="preserve"/>
      </w:r>
    </w:p>
    <w:p>
      <w:pPr>
        <w:jc w:val="both"/>
      </w:pPr>
      <w:r>
        <w:rPr/>
        <w:t xml:space="preserve">Inoltre, l'articolo potrebbe essere considerato parziale poiché si concentra principalmente sul punto di vista del contribuente e non fornisce una prospettiva equilibrata delle argomentazioni dell'Agenzia Fiscale o delle ragioni alla base della decisione della Corte Suprema.</w:t>
      </w:r>
    </w:p>
    <w:p>
      <w:pPr>
        <w:jc w:val="both"/>
      </w:pPr>
      <w:r>
        <w:rPr/>
        <w:t xml:space="preserve"/>
      </w:r>
    </w:p>
    <w:p>
      <w:pPr>
        <w:jc w:val="both"/>
      </w:pPr>
      <w:r>
        <w:rPr/>
        <w:t xml:space="preserve">Infine, sarebbe stato utile includere esempi pratici o casi studio per illustrare meglio le implicazioni della decisione della Corte Suprema sui servizi di affitto e alloggio in Svizzera. Questo avrebbe reso l'articolo più accessibile e comprensibile per un pubblico più ampio.</w:t>
      </w:r>
    </w:p>
    <w:p>
      <w:pPr>
        <w:pStyle w:val="Heading1"/>
      </w:pPr>
      <w:bookmarkStart w:id="5" w:name="_Toc5"/>
      <w:r>
        <w:t>Topics for further research:</w:t>
      </w:r>
      <w:bookmarkEnd w:id="5"/>
    </w:p>
    <w:p>
      <w:pPr>
        <w:spacing w:after="0"/>
        <w:numPr>
          <w:ilvl w:val="0"/>
          <w:numId w:val="2"/>
        </w:numPr>
      </w:pPr>
      <w:r>
        <w:rPr/>
        <w:t xml:space="preserve">Decisioni della Corte Europea in materia di obbligazioni IVA per servizi di affitto e alloggio
</w:t>
      </w:r>
    </w:p>
    <w:p>
      <w:pPr>
        <w:spacing w:after="0"/>
        <w:numPr>
          <w:ilvl w:val="0"/>
          <w:numId w:val="2"/>
        </w:numPr>
      </w:pPr>
      <w:r>
        <w:rPr/>
        <w:t xml:space="preserve">Argomentazioni dell'Agenzia Fiscale sulla questione delle obbligazioni IVA
</w:t>
      </w:r>
    </w:p>
    <w:p>
      <w:pPr>
        <w:spacing w:after="0"/>
        <w:numPr>
          <w:ilvl w:val="0"/>
          <w:numId w:val="2"/>
        </w:numPr>
      </w:pPr>
      <w:r>
        <w:rPr/>
        <w:t xml:space="preserve">Implicazioni pratiche della Decisione n. 2C_563/2022 della Corte Suprema Svizzera
</w:t>
      </w:r>
    </w:p>
    <w:p>
      <w:pPr>
        <w:spacing w:after="0"/>
        <w:numPr>
          <w:ilvl w:val="0"/>
          <w:numId w:val="2"/>
        </w:numPr>
      </w:pPr>
      <w:r>
        <w:rPr/>
        <w:t xml:space="preserve">Casi studio sull'applicazione delle obbligazioni IVA nei servizi di affitto e alloggio
</w:t>
      </w:r>
    </w:p>
    <w:p>
      <w:pPr>
        <w:spacing w:after="0"/>
        <w:numPr>
          <w:ilvl w:val="0"/>
          <w:numId w:val="2"/>
        </w:numPr>
      </w:pPr>
      <w:r>
        <w:rPr/>
        <w:t xml:space="preserve">Prospettiva equilibrata sulle argomentazioni dei contribuenti e dell'Agenzia Fiscale
</w:t>
      </w:r>
    </w:p>
    <w:p>
      <w:pPr>
        <w:numPr>
          <w:ilvl w:val="0"/>
          <w:numId w:val="2"/>
        </w:numPr>
      </w:pPr>
      <w:r>
        <w:rPr/>
        <w:t xml:space="preserve">Analisi comparativa delle decisioni delle corti internazionali sulla questione delle obbligazioni IVA.</w:t>
      </w:r>
    </w:p>
    <w:p>
      <w:pPr>
        <w:pStyle w:val="Heading1"/>
      </w:pPr>
      <w:bookmarkStart w:id="6" w:name="_Toc6"/>
      <w:r>
        <w:t>Report location:</w:t>
      </w:r>
      <w:bookmarkEnd w:id="6"/>
    </w:p>
    <w:p>
      <w:hyperlink r:id="rId8" w:history="1">
        <w:r>
          <w:rPr>
            <w:color w:val="2980b9"/>
            <w:u w:val="single"/>
          </w:rPr>
          <w:t xml:space="preserve">https://www.fullpicture.app/item/cba6d3ee7c9273cd547365e77dc0fe33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51E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bloombergtax.com/daily-tax-report-international/switzerland-supreme-court-clarifies-vat-obligations-for-rental-accommodation-services" TargetMode="External"/><Relationship Id="rId8" Type="http://schemas.openxmlformats.org/officeDocument/2006/relationships/hyperlink" Target="https://www.fullpicture.app/item/cba6d3ee7c9273cd547365e77dc0fe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2024-07-05T05:54:52+02:00</dcterms:created>
  <dcterms:modified xsi:type="dcterms:W3CDTF">2024-07-05T05:54:52+02:00</dcterms:modified>
</cp:coreProperties>
</file>

<file path=docProps/custom.xml><?xml version="1.0" encoding="utf-8"?>
<Properties xmlns="http://schemas.openxmlformats.org/officeDocument/2006/custom-properties" xmlns:vt="http://schemas.openxmlformats.org/officeDocument/2006/docPropsVTypes"/>
</file>