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Quantitative cervical spine injury responses in whiplash loading with a numerical method of natural neural reflex consideration - ScienceDirect</w:t>
      </w:r>
      <w:br/>
      <w:hyperlink r:id="rId7" w:history="1">
        <w:r>
          <w:rPr>
            <w:color w:val="2980b9"/>
            <w:u w:val="single"/>
          </w:rPr>
          <w:t xml:space="preserve">https://eproxy.lib.tsinghua.edu.cn/https/7myu6CroLAXMrp7uaqvXiuvMGPPiXeQ7HH6xJD9b0MhzQe/science/article/pii/S016926072200147X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本研究建立了一个新的有神经反射控制的头颈模型，并证明了神经反射控制在限制头颈旋转和损伤反应方面的重要作用。</w:t>
      </w:r>
    </w:p>
    <w:p>
      <w:pPr>
        <w:jc w:val="both"/>
      </w:pPr>
      <w:r>
        <w:rPr/>
        <w:t xml:space="preserve">2. 在典型的脊柱损伤负载条件下（剪力），由于神经反射控制，组织负荷浓度位置以及头颈系统的应力/应变水平都发生了改变，这明显转移到了较低的颈椎区域以减轻损伤严重程度。</w:t>
      </w:r>
    </w:p>
    <w:p>
      <w:pPr>
        <w:jc w:val="both"/>
      </w:pPr>
      <w:r>
        <w:rPr/>
        <w:t xml:space="preserve">3. 研究结果表明，在使用数值方法进行头颈生物力学响应预测时，整合神经反射效应是必要的。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作为一篇科学论文，该文章提供了一个新的有关颈椎损伤的数值模拟方法，并探讨了神经反射对颈部生物力学响应的影响。然而，该文章存在以下问题：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偏见来源：该文章没有提及任何可能的偏见来源，例如作者是否受到某些机构或利益集团的资助或影响。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片面报道：该文章只考虑了神经反射对颈部生物力学响应的积极影响，但未探讨其可能的负面影响。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无根据主张：该文章声称神经反射可以减轻颈椎损伤的严重程度，但未提供足够证据支持这一主张。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缺失考虑点：该文章没有考虑其他因素对颈椎损伤的影响，例如个体差异、事故类型和速度等。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主张缺失证据：该文章没有提供足够证据支持其主张，例如通过实验验证其数值模拟结果。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未探索反驳：该文章没有探讨其他研究对其结论的反驳或争议。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宣传内容：该文章可能存在宣传内容，例如强调神经反射的积极影响，而忽略了其他因素。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偏袒：该文章可能存在偏袒某些观点或利益集团，例如强调神经反射的重要性，而忽略了其他因素。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风险注意：该文章没有提及可能的风险或不确定性，例如数值模拟结果的可靠性和适用性。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10. 平等呈现：该文章没有平等地呈现双方观点或证据，而是只关注了一方的观点。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Potential biases
</w:t>
      </w:r>
    </w:p>
    <w:p>
      <w:pPr>
        <w:spacing w:after="0"/>
        <w:numPr>
          <w:ilvl w:val="0"/>
          <w:numId w:val="2"/>
        </w:numPr>
      </w:pPr>
      <w:r>
        <w:rPr/>
        <w:t xml:space="preserve">One-sided reporting
</w:t>
      </w:r>
    </w:p>
    <w:p>
      <w:pPr>
        <w:spacing w:after="0"/>
        <w:numPr>
          <w:ilvl w:val="0"/>
          <w:numId w:val="2"/>
        </w:numPr>
      </w:pPr>
      <w:r>
        <w:rPr/>
        <w:t xml:space="preserve">Unsupported claims
</w:t>
      </w:r>
    </w:p>
    <w:p>
      <w:pPr>
        <w:spacing w:after="0"/>
        <w:numPr>
          <w:ilvl w:val="0"/>
          <w:numId w:val="2"/>
        </w:numPr>
      </w:pPr>
      <w:r>
        <w:rPr/>
        <w:t xml:space="preserve">Missing considerations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claims
</w:t>
      </w:r>
    </w:p>
    <w:p>
      <w:pPr>
        <w:numPr>
          <w:ilvl w:val="0"/>
          <w:numId w:val="2"/>
        </w:numPr>
      </w:pPr>
      <w:r>
        <w:rPr/>
        <w:t xml:space="preserve">Unexplored counterarguments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https://www.fullpicture.app/item/cc7af0dfe11c6c0032bbe2fef48b642a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0C6D5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roxy.lib.tsinghua.edu.cn/https/7myu6CroLAXMrp7uaqvXiuvMGPPiXeQ7HH6xJD9b0MhzQe/science/article/pii/S016926072200147X" TargetMode="External"/><Relationship Id="rId8" Type="http://schemas.openxmlformats.org/officeDocument/2006/relationships/hyperlink" Target="https://www.fullpicture.app/item/cc7af0dfe11c6c0032bbe2fef48b64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2023-12-30T12:48:08+01:00</dcterms:created>
  <dcterms:modified xsi:type="dcterms:W3CDTF">2023-12-30T12:48:08+01:00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