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Immortalized myeloid suppressor cells trigger apoptosis in antigen-activated T lymphocytes - PubMed</w:t>
      </w:r>
      <w:br/>
      <w:hyperlink r:id="rId7" w:history="1">
        <w:r>
          <w:rPr>
            <w:color w:val="2980b9"/>
            <w:u w:val="single"/>
          </w:rPr>
          <w:t xml:space="preserve">https://pubmed.ncbi.nlm.nih.gov/11120790/</w:t>
        </w:r>
      </w:hyperlink>
    </w:p>
    <w:p>
      <w:pPr>
        <w:pStyle w:val="Heading1"/>
      </w:pPr>
      <w:bookmarkStart w:id="2" w:name="_Toc2"/>
      <w:r>
        <w:t>Article summary:</w:t>
      </w:r>
      <w:bookmarkEnd w:id="2"/>
    </w:p>
    <w:p>
      <w:pPr>
        <w:jc w:val="both"/>
      </w:pPr>
      <w:r>
        <w:rPr/>
        <w:t xml:space="preserve">1. Immune suppression in mice bearing large tumor nodules or immunized with powerful recombinant viral immunogens is entirely dependent on GM-CSF-driven accumulation of CD11b(+)/Gr-1(+) cells.</w:t>
      </w:r>
    </w:p>
    <w:p>
      <w:pPr>
        <w:jc w:val="both"/>
      </w:pPr>
      <w:r>
        <w:rPr/>
        <w:t xml:space="preserve">2. Two MSC lines, MSC-1 and MSC-2, were selected based upon their abilities to inhibit Ag-specific proliferative and functional CTL responses.</w:t>
      </w:r>
    </w:p>
    <w:p>
      <w:pPr>
        <w:jc w:val="both"/>
      </w:pPr>
      <w:r>
        <w:rPr/>
        <w:t xml:space="preserve">3. Both MSC lines triggered the apoptotic cascade in Ag-activated T lymphocytes by a mechanism requiring cell-cell contact.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“Immortalizedmyeloid suppressor cells trigger apoptosis in antigen-activated T lymphocytes” is a well written and comprehensive piece of research that provides an in depth look into the role of CD11b(+)/Gr-1(+) cells in immune suppression. The authors provide evidence for their claims through experiments conducted on mice, as well as through analysis of the results obtained from these experiments.</w:t>
      </w:r>
    </w:p>
    <w:p>
      <w:pPr>
        <w:jc w:val="both"/>
      </w:pPr>
      <w:r>
        <w:rPr/>
        <w:t xml:space="preserve">The article is reliable and trustworthy due to its use of scientific methods to support its claims, as well as its thorough discussion of the implications of the findings presented. The authors also provide detailed descriptions of the methods used to conduct their experiments, which adds to the trustworthiness and reliability of the article. Additionally, all sources used are properly cited throughout the article, which further adds to its credibility.</w:t>
      </w:r>
    </w:p>
    <w:p>
      <w:pPr>
        <w:jc w:val="both"/>
      </w:pPr>
      <w:r>
        <w:rPr/>
        <w:t xml:space="preserve">However, there are some potential biases present in this article that should be noted. For example, while the authors discuss potential mechanisms for how CD11b(+)/Gr-1(+) cells may be involved in immune suppression, they do not explore any counterarguments or alternative explanations for their findings. Additionally, while they discuss potential risks associated with using these cells for therapeutic purposes, they do not provide any evidence or data to support these claims. Finally, it should also be noted that this article does not present both sides equally; instead it focuses primarily on one side (the positive effects) without exploring any potential negative effects or consequences associated with using these cells therapeutically. </w:t>
      </w:r>
    </w:p>
    <w:p>
      <w:pPr>
        <w:jc w:val="both"/>
      </w:pPr>
      <w:r>
        <w:rPr/>
        <w:t xml:space="preserve">In conclusion, this article is a reliable and trustworthy source due to its use of scientific methods and thorough discussion of implications; however there are some potential biases present that should be taken into consideration when evaluating this source.</w:t>
      </w:r>
    </w:p>
    <w:p>
      <w:pPr>
        <w:pStyle w:val="Heading1"/>
      </w:pPr>
      <w:bookmarkStart w:id="5" w:name="_Toc5"/>
      <w:r>
        <w:t>Topics for further research:</w:t>
      </w:r>
      <w:bookmarkEnd w:id="5"/>
    </w:p>
    <w:p>
      <w:pPr>
        <w:spacing w:after="0"/>
        <w:numPr>
          <w:ilvl w:val="0"/>
          <w:numId w:val="2"/>
        </w:numPr>
      </w:pPr>
      <w:r>
        <w:rPr/>
        <w:t xml:space="preserve">CD11b(+)/Gr-1(+) cell therapeutic risks</w:t>
      </w:r>
    </w:p>
    <w:p>
      <w:pPr>
        <w:spacing w:after="0"/>
        <w:numPr>
          <w:ilvl w:val="0"/>
          <w:numId w:val="2"/>
        </w:numPr>
      </w:pPr>
      <w:r>
        <w:rPr/>
        <w:t xml:space="preserve">Alternative explanations for CD11b(+)/Gr-1(+) cell immune suppression</w:t>
      </w:r>
    </w:p>
    <w:p>
      <w:pPr>
        <w:spacing w:after="0"/>
        <w:numPr>
          <w:ilvl w:val="0"/>
          <w:numId w:val="2"/>
        </w:numPr>
      </w:pPr>
      <w:r>
        <w:rPr/>
        <w:t xml:space="preserve">Negative effects of CD11b(+)/Gr-1(+) cell therapy</w:t>
      </w:r>
    </w:p>
    <w:p>
      <w:pPr>
        <w:spacing w:after="0"/>
        <w:numPr>
          <w:ilvl w:val="0"/>
          <w:numId w:val="2"/>
        </w:numPr>
      </w:pPr>
      <w:r>
        <w:rPr/>
        <w:t xml:space="preserve">Potential side effects of CD11b(+)/Gr-1(+) cell therapy</w:t>
      </w:r>
    </w:p>
    <w:p>
      <w:pPr>
        <w:spacing w:after="0"/>
        <w:numPr>
          <w:ilvl w:val="0"/>
          <w:numId w:val="2"/>
        </w:numPr>
      </w:pPr>
      <w:r>
        <w:rPr/>
        <w:t xml:space="preserve">CD11b(+)/Gr-1(+) cell therapy safety</w:t>
      </w:r>
    </w:p>
    <w:p>
      <w:pPr>
        <w:numPr>
          <w:ilvl w:val="0"/>
          <w:numId w:val="2"/>
        </w:numPr>
      </w:pPr>
      <w:r>
        <w:rPr/>
        <w:t xml:space="preserve">CD11b(+)/Gr-1(+) cell therapy efficacy</w:t>
      </w:r>
    </w:p>
    <w:p>
      <w:pPr>
        <w:pStyle w:val="Heading1"/>
      </w:pPr>
      <w:bookmarkStart w:id="6" w:name="_Toc6"/>
      <w:r>
        <w:t>Report location:</w:t>
      </w:r>
      <w:bookmarkEnd w:id="6"/>
    </w:p>
    <w:p>
      <w:hyperlink r:id="rId8" w:history="1">
        <w:r>
          <w:rPr>
            <w:color w:val="2980b9"/>
            <w:u w:val="single"/>
          </w:rPr>
          <w:t xml:space="preserve">https://www.fullpicture.app/item/cc9bdeb73d87c77bd1a99f4717309944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3D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1120790/" TargetMode="External"/><Relationship Id="rId8" Type="http://schemas.openxmlformats.org/officeDocument/2006/relationships/hyperlink" Target="https://www.fullpicture.app/item/cc9bdeb73d87c77bd1a99f47173099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2023-03-01T23:17:56+01:00</dcterms:created>
  <dcterms:modified xsi:type="dcterms:W3CDTF">2023-03-01T23:17:56+01:00</dcterms:modified>
</cp:coreProperties>
</file>

<file path=docProps/custom.xml><?xml version="1.0" encoding="utf-8"?>
<Properties xmlns="http://schemas.openxmlformats.org/officeDocument/2006/custom-properties" xmlns:vt="http://schemas.openxmlformats.org/officeDocument/2006/docPropsVTypes"/>
</file>