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Mutual fund performance at long horizons - ScienceDirect</w:t>
      </w:r>
      <w:br/>
      <w:hyperlink r:id="rId7" w:history="1">
        <w:r>
          <w:rPr>
            <w:color w:val="2980b9"/>
            <w:u w:val="single"/>
          </w:rPr>
          <w:t xml:space="preserve">https://vpn.jlu.edu.cn/https/6a6c7576706e6973746865676f6f642146ab1ccab988c2a628982887fb4b0f3fca7e3a30a5/science/article/pii/S0304405X22002264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投资者关注长期复合收益率，而不是短期平均收益率。</w:t>
      </w:r>
    </w:p>
    <w:p>
      <w:pPr>
        <w:jc w:val="both"/>
      </w:pPr>
      <w:r>
        <w:rPr/>
        <w:t xml:space="preserve">2. 长期复合收益率的分布呈现正偏态，这意味着大多数基金表现不佳，但也有一些基金表现非常出色。</w:t>
      </w:r>
    </w:p>
    <w:p>
      <w:pPr>
        <w:jc w:val="both"/>
      </w:pPr>
      <w:r>
        <w:rPr/>
        <w:t xml:space="preserve">3. 基金费用对长期投资回报有影响，但即使考虑了费用，只有少数基金能够在长期内跑赢市场基准。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该文章提出了一个有趣的观点，即投资者应该考虑长期复合收益率而不是短期收益率。然而，文章存在一些潜在的偏见和问题。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首先，文章只研究了美国股票型共同基金，并且样本仅包括1991年至2020年之间的数据。这种限制可能导致结论不适用于其他类型的基金或其他时间段。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其次，文章没有考虑风险因素。虽然作者提到了“风险”，但并没有对其进行详细讨论或分析。这可能导致读者低估了长期投资的风险。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探讨为什么长期复合收益率会呈现正偏态分布。这可能与市场中存在的某些因素有关，例如市场波动性、基金经理能力等等。如果作者能够深入探讨这些因素，那么读者将更好地理解为什么长期复合收益率呈现正偏态分布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平等地呈现双方观点。作者主张投资者应该关注长期复合收益率，但并未探讨短期收益率对投资决策的影响。如果作者能够平衡地呈现双方观点，那么读者将更好地理解长期和短期收益率之间的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综上所述，该文章提出了一个有趣的观点，但存在一些潜在的偏见和问题。如果作者能够深入探讨这些问题，并平衡地呈现双方观点，那么读者将更好地理解长期和短期收益率之间的关系。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types of funds
</w:t>
      </w:r>
    </w:p>
    <w:p>
      <w:pPr>
        <w:spacing w:after="0"/>
        <w:numPr>
          <w:ilvl w:val="0"/>
          <w:numId w:val="2"/>
        </w:numPr>
      </w:pPr>
      <w:r>
        <w:rPr/>
        <w:t xml:space="preserve">Different time periods
</w:t>
      </w:r>
    </w:p>
    <w:p>
      <w:pPr>
        <w:spacing w:after="0"/>
        <w:numPr>
          <w:ilvl w:val="0"/>
          <w:numId w:val="2"/>
        </w:numPr>
      </w:pPr>
      <w:r>
        <w:rPr/>
        <w:t xml:space="preserve">Risk factors
</w:t>
      </w:r>
    </w:p>
    <w:p>
      <w:pPr>
        <w:spacing w:after="0"/>
        <w:numPr>
          <w:ilvl w:val="0"/>
          <w:numId w:val="2"/>
        </w:numPr>
      </w:pPr>
      <w:r>
        <w:rPr/>
        <w:t xml:space="preserve">Factors contributing to positive skewness
</w:t>
      </w:r>
    </w:p>
    <w:p>
      <w:pPr>
        <w:spacing w:after="0"/>
        <w:numPr>
          <w:ilvl w:val="0"/>
          <w:numId w:val="2"/>
        </w:numPr>
      </w:pPr>
      <w:r>
        <w:rPr/>
        <w:t xml:space="preserve">Short-term returns and their impact on investment decisions
</w:t>
      </w:r>
    </w:p>
    <w:p>
      <w:pPr>
        <w:numPr>
          <w:ilvl w:val="0"/>
          <w:numId w:val="2"/>
        </w:numPr>
      </w:pPr>
      <w:r>
        <w:rPr/>
        <w:t xml:space="preserve">Balanced presentation of both perspectives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https://www.fullpicture.app/item/cd3d16c84c5a5fcdef1bbe86759c2ece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D26F9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pn.jlu.edu.cn/https/6a6c7576706e6973746865676f6f642146ab1ccab988c2a628982887fb4b0f3fca7e3a30a5/science/article/pii/S0304405X22002264" TargetMode="External"/><Relationship Id="rId8" Type="http://schemas.openxmlformats.org/officeDocument/2006/relationships/hyperlink" Target="https://www.fullpicture.app/item/cd3d16c84c5a5fcdef1bbe86759c2ec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2023-12-18T15:35:18+01:00</dcterms:created>
  <dcterms:modified xsi:type="dcterms:W3CDTF">2023-12-18T15:35:18+01:00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